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78F32">
      <w:pPr>
        <w:spacing w:line="360" w:lineRule="auto"/>
        <w:jc w:val="center"/>
        <w:rPr>
          <w:rFonts w:ascii="楷体_GB2312" w:eastAsia="楷体_GB2312"/>
          <w:b/>
          <w:sz w:val="44"/>
        </w:rPr>
      </w:pPr>
    </w:p>
    <w:p w14:paraId="1BFBEFCF">
      <w:pPr>
        <w:spacing w:line="360" w:lineRule="auto"/>
        <w:jc w:val="center"/>
        <w:rPr>
          <w:rFonts w:ascii="楷体_GB2312" w:eastAsia="楷体_GB2312"/>
          <w:b/>
          <w:sz w:val="44"/>
        </w:rPr>
      </w:pPr>
    </w:p>
    <w:p w14:paraId="72F4C53D">
      <w:pPr>
        <w:spacing w:line="360" w:lineRule="auto"/>
        <w:jc w:val="center"/>
        <w:rPr>
          <w:rFonts w:ascii="楷体_GB2312" w:eastAsia="楷体_GB2312"/>
          <w:b/>
          <w:sz w:val="44"/>
        </w:rPr>
      </w:pPr>
    </w:p>
    <w:p w14:paraId="15D5BDCA">
      <w:pPr>
        <w:spacing w:line="360" w:lineRule="auto"/>
        <w:jc w:val="center"/>
        <w:rPr>
          <w:rFonts w:ascii="楷体_GB2312" w:eastAsia="楷体_GB2312"/>
          <w:b/>
          <w:sz w:val="44"/>
        </w:rPr>
      </w:pPr>
    </w:p>
    <w:p w14:paraId="4B020175">
      <w:pPr>
        <w:spacing w:line="360" w:lineRule="auto"/>
        <w:jc w:val="center"/>
        <w:rPr>
          <w:rFonts w:ascii="隶书" w:eastAsia="隶书"/>
          <w:b/>
          <w:sz w:val="84"/>
        </w:rPr>
      </w:pPr>
      <w:r>
        <w:rPr>
          <w:rFonts w:hint="eastAsia" w:ascii="隶书" w:eastAsia="隶书"/>
          <w:b/>
          <w:sz w:val="84"/>
        </w:rPr>
        <w:t>资产评估委托合同</w:t>
      </w:r>
    </w:p>
    <w:p w14:paraId="054AE753">
      <w:pPr>
        <w:spacing w:line="360" w:lineRule="auto"/>
        <w:jc w:val="center"/>
        <w:rPr>
          <w:rFonts w:ascii="楷体_GB2312" w:eastAsia="楷体_GB2312"/>
          <w:b/>
          <w:sz w:val="24"/>
        </w:rPr>
      </w:pPr>
      <w:r>
        <w:rPr>
          <w:rFonts w:hint="eastAsia" w:ascii="楷体_GB2312" w:eastAsia="楷体_GB2312"/>
          <w:b/>
          <w:sz w:val="24"/>
        </w:rPr>
        <w:t>（</w:t>
      </w:r>
      <w:r>
        <w:rPr>
          <w:rFonts w:hint="eastAsia" w:ascii="楷体_GB2312" w:eastAsia="楷体_GB2312"/>
          <w:b/>
          <w:sz w:val="24"/>
          <w:lang w:eastAsia="zh-CN"/>
        </w:rPr>
        <w:t>XX公司</w:t>
      </w:r>
      <w:r>
        <w:rPr>
          <w:rFonts w:hint="eastAsia" w:ascii="楷体_GB2312" w:eastAsia="楷体_GB2312"/>
          <w:b/>
          <w:sz w:val="24"/>
          <w:lang w:val="en-US" w:eastAsia="zh-CN"/>
        </w:rPr>
        <w:t>报废资产</w:t>
      </w:r>
      <w:r>
        <w:rPr>
          <w:rFonts w:hint="eastAsia" w:ascii="楷体_GB2312" w:eastAsia="楷体_GB2312"/>
          <w:b/>
          <w:sz w:val="24"/>
        </w:rPr>
        <w:t>项目）</w:t>
      </w:r>
    </w:p>
    <w:p w14:paraId="22A93641">
      <w:pPr>
        <w:spacing w:line="360" w:lineRule="auto"/>
        <w:jc w:val="center"/>
        <w:rPr>
          <w:rFonts w:ascii="楷体_GB2312" w:eastAsia="楷体_GB2312"/>
          <w:b/>
          <w:sz w:val="24"/>
        </w:rPr>
      </w:pPr>
    </w:p>
    <w:p w14:paraId="5338E1EA">
      <w:pPr>
        <w:spacing w:line="360" w:lineRule="auto"/>
        <w:jc w:val="center"/>
        <w:rPr>
          <w:rFonts w:ascii="楷体_GB2312" w:eastAsia="楷体_GB2312"/>
          <w:b/>
          <w:sz w:val="24"/>
        </w:rPr>
      </w:pPr>
    </w:p>
    <w:p w14:paraId="1B02E769">
      <w:pPr>
        <w:spacing w:line="360" w:lineRule="auto"/>
        <w:jc w:val="center"/>
        <w:rPr>
          <w:rFonts w:ascii="楷体_GB2312" w:eastAsia="楷体_GB2312"/>
          <w:b/>
          <w:sz w:val="24"/>
        </w:rPr>
      </w:pPr>
    </w:p>
    <w:p w14:paraId="438E1417">
      <w:pPr>
        <w:spacing w:line="360" w:lineRule="auto"/>
        <w:jc w:val="center"/>
        <w:rPr>
          <w:rFonts w:ascii="楷体_GB2312" w:eastAsia="楷体_GB2312"/>
          <w:b/>
          <w:sz w:val="24"/>
        </w:rPr>
      </w:pPr>
    </w:p>
    <w:p w14:paraId="3C57F6F2">
      <w:pPr>
        <w:spacing w:line="360" w:lineRule="auto"/>
        <w:jc w:val="center"/>
        <w:rPr>
          <w:rFonts w:ascii="楷体_GB2312" w:eastAsia="楷体_GB2312"/>
          <w:b/>
          <w:sz w:val="24"/>
        </w:rPr>
      </w:pPr>
    </w:p>
    <w:p w14:paraId="5609FB2F">
      <w:pPr>
        <w:spacing w:line="360" w:lineRule="auto"/>
        <w:jc w:val="center"/>
        <w:rPr>
          <w:rFonts w:ascii="楷体_GB2312" w:eastAsia="楷体_GB2312"/>
          <w:b/>
          <w:sz w:val="24"/>
        </w:rPr>
      </w:pPr>
    </w:p>
    <w:p w14:paraId="0007014A">
      <w:pPr>
        <w:spacing w:line="360" w:lineRule="auto"/>
        <w:jc w:val="center"/>
        <w:rPr>
          <w:rFonts w:ascii="楷体_GB2312" w:eastAsia="楷体_GB2312"/>
          <w:b/>
          <w:sz w:val="24"/>
        </w:rPr>
      </w:pPr>
    </w:p>
    <w:p w14:paraId="1CD7FA13">
      <w:pPr>
        <w:spacing w:line="360" w:lineRule="auto"/>
        <w:jc w:val="center"/>
        <w:rPr>
          <w:rFonts w:ascii="楷体_GB2312" w:eastAsia="楷体_GB2312"/>
          <w:b/>
          <w:sz w:val="24"/>
        </w:rPr>
      </w:pPr>
    </w:p>
    <w:p w14:paraId="41289715">
      <w:pPr>
        <w:spacing w:line="360" w:lineRule="auto"/>
        <w:jc w:val="center"/>
        <w:rPr>
          <w:rFonts w:ascii="楷体_GB2312" w:eastAsia="楷体_GB2312"/>
          <w:b/>
          <w:sz w:val="24"/>
        </w:rPr>
      </w:pPr>
    </w:p>
    <w:p w14:paraId="617EBF76">
      <w:pPr>
        <w:spacing w:line="360" w:lineRule="auto"/>
        <w:jc w:val="center"/>
        <w:rPr>
          <w:rFonts w:ascii="楷体_GB2312" w:eastAsia="楷体_GB2312"/>
          <w:b/>
          <w:sz w:val="24"/>
        </w:rPr>
      </w:pPr>
    </w:p>
    <w:p w14:paraId="494E849E">
      <w:pPr>
        <w:spacing w:line="360" w:lineRule="auto"/>
        <w:jc w:val="center"/>
        <w:rPr>
          <w:rFonts w:ascii="楷体_GB2312" w:eastAsia="楷体_GB2312"/>
          <w:b/>
          <w:sz w:val="24"/>
        </w:rPr>
      </w:pPr>
    </w:p>
    <w:p w14:paraId="1DE4954C">
      <w:pPr>
        <w:spacing w:line="360" w:lineRule="auto"/>
        <w:rPr>
          <w:rFonts w:hint="eastAsia" w:ascii="楷体_GB2312" w:eastAsia="楷体_GB2312"/>
          <w:b/>
          <w:sz w:val="36"/>
          <w:szCs w:val="36"/>
          <w:u w:val="single"/>
          <w:lang w:eastAsia="zh-CN"/>
        </w:rPr>
      </w:pPr>
      <w:r>
        <w:rPr>
          <w:rFonts w:hint="eastAsia" w:ascii="楷体_GB2312" w:eastAsia="楷体_GB2312"/>
          <w:b/>
          <w:sz w:val="36"/>
          <w:szCs w:val="36"/>
        </w:rPr>
        <w:t>甲方：</w:t>
      </w:r>
      <w:r>
        <w:rPr>
          <w:rFonts w:hint="eastAsia" w:ascii="楷体_GB2312" w:eastAsia="楷体_GB2312"/>
          <w:b/>
          <w:sz w:val="36"/>
          <w:szCs w:val="36"/>
          <w:u w:val="single"/>
          <w:lang w:eastAsia="zh-CN"/>
        </w:rPr>
        <w:t>XX公司</w:t>
      </w:r>
    </w:p>
    <w:p w14:paraId="26FEC8C2">
      <w:pPr>
        <w:spacing w:line="360" w:lineRule="auto"/>
        <w:rPr>
          <w:rFonts w:hint="eastAsia" w:ascii="楷体_GB2312" w:eastAsia="楷体_GB2312"/>
          <w:b/>
          <w:sz w:val="36"/>
          <w:szCs w:val="36"/>
          <w:u w:val="single"/>
          <w:lang w:eastAsia="zh-CN"/>
        </w:rPr>
      </w:pPr>
      <w:r>
        <w:rPr>
          <w:rFonts w:hint="eastAsia" w:ascii="楷体_GB2312" w:eastAsia="楷体_GB2312"/>
          <w:b/>
          <w:sz w:val="36"/>
          <w:szCs w:val="36"/>
        </w:rPr>
        <w:t>乙方：</w:t>
      </w:r>
      <w:r>
        <w:rPr>
          <w:rFonts w:hint="eastAsia" w:ascii="楷体_GB2312" w:eastAsia="楷体_GB2312"/>
          <w:b/>
          <w:sz w:val="36"/>
          <w:szCs w:val="36"/>
          <w:u w:val="single"/>
          <w:lang w:eastAsia="zh-CN"/>
        </w:rPr>
        <w:t>XX评估公司</w:t>
      </w:r>
    </w:p>
    <w:p w14:paraId="29FEF673">
      <w:pPr>
        <w:spacing w:line="360" w:lineRule="auto"/>
        <w:ind w:firstLine="1265" w:firstLineChars="350"/>
        <w:rPr>
          <w:rFonts w:ascii="楷体_GB2312" w:eastAsia="楷体_GB2312"/>
          <w:b/>
          <w:sz w:val="36"/>
          <w:szCs w:val="36"/>
          <w:u w:val="single"/>
        </w:rPr>
      </w:pPr>
    </w:p>
    <w:p w14:paraId="29A97727">
      <w:pPr>
        <w:tabs>
          <w:tab w:val="left" w:pos="4320"/>
        </w:tabs>
        <w:snapToGrid w:val="0"/>
        <w:spacing w:line="360" w:lineRule="auto"/>
      </w:pPr>
    </w:p>
    <w:p w14:paraId="354B7E4B">
      <w:pPr>
        <w:snapToGrid w:val="0"/>
        <w:spacing w:line="360" w:lineRule="auto"/>
        <w:jc w:val="center"/>
        <w:rPr>
          <w:rFonts w:ascii="楷体_GB2312" w:eastAsia="楷体_GB2312"/>
          <w:b/>
          <w:sz w:val="44"/>
        </w:rPr>
      </w:pPr>
      <w:r>
        <w:rPr>
          <w:rFonts w:ascii="楷体_GB2312" w:eastAsia="楷体_GB2312"/>
          <w:b/>
          <w:sz w:val="44"/>
        </w:rPr>
        <w:br w:type="page"/>
      </w:r>
      <w:r>
        <w:rPr>
          <w:rFonts w:hint="eastAsia" w:ascii="楷体_GB2312" w:eastAsia="楷体_GB2312"/>
          <w:b/>
          <w:sz w:val="44"/>
        </w:rPr>
        <w:t>资产评估委托合同</w:t>
      </w:r>
    </w:p>
    <w:p w14:paraId="609A2082">
      <w:pPr>
        <w:snapToGrid w:val="0"/>
        <w:spacing w:line="360" w:lineRule="auto"/>
        <w:jc w:val="right"/>
        <w:rPr>
          <w:rFonts w:ascii="楷体_GB2312" w:eastAsia="楷体_GB2312"/>
          <w:b/>
          <w:sz w:val="24"/>
        </w:rPr>
      </w:pPr>
    </w:p>
    <w:p w14:paraId="023C13C1">
      <w:pPr>
        <w:snapToGrid w:val="0"/>
        <w:spacing w:line="360" w:lineRule="auto"/>
        <w:rPr>
          <w:rFonts w:hint="eastAsia" w:ascii="楷体_GB2312" w:eastAsia="楷体_GB2312"/>
          <w:b/>
          <w:sz w:val="24"/>
          <w:lang w:eastAsia="zh-CN"/>
        </w:rPr>
      </w:pPr>
      <w:r>
        <w:rPr>
          <w:rFonts w:hint="eastAsia" w:ascii="楷体_GB2312" w:eastAsia="楷体_GB2312"/>
          <w:b/>
          <w:sz w:val="24"/>
        </w:rPr>
        <w:t>甲    方：</w:t>
      </w:r>
      <w:r>
        <w:rPr>
          <w:rFonts w:hint="eastAsia" w:ascii="楷体_GB2312" w:eastAsia="楷体_GB2312"/>
          <w:b/>
          <w:sz w:val="24"/>
          <w:lang w:eastAsia="zh-CN"/>
        </w:rPr>
        <w:t>XX公司</w:t>
      </w:r>
    </w:p>
    <w:p w14:paraId="3F6D41C5">
      <w:pPr>
        <w:snapToGrid w:val="0"/>
        <w:spacing w:line="360" w:lineRule="auto"/>
        <w:rPr>
          <w:rFonts w:ascii="楷体_GB2312" w:eastAsia="楷体_GB2312"/>
          <w:b/>
          <w:sz w:val="24"/>
          <w:highlight w:val="none"/>
        </w:rPr>
      </w:pPr>
      <w:r>
        <w:rPr>
          <w:rFonts w:hint="eastAsia" w:ascii="楷体_GB2312" w:eastAsia="楷体_GB2312"/>
          <w:b/>
          <w:sz w:val="24"/>
          <w:highlight w:val="none"/>
        </w:rPr>
        <w:t>地    址：</w:t>
      </w:r>
    </w:p>
    <w:p w14:paraId="7716BCCA">
      <w:pPr>
        <w:snapToGrid w:val="0"/>
        <w:spacing w:line="360" w:lineRule="auto"/>
        <w:rPr>
          <w:rFonts w:hint="eastAsia" w:ascii="楷体_GB2312" w:eastAsia="楷体_GB2312"/>
          <w:b/>
          <w:spacing w:val="40"/>
          <w:sz w:val="24"/>
          <w:highlight w:val="none"/>
          <w:lang w:val="en-US" w:eastAsia="zh-CN"/>
        </w:rPr>
      </w:pPr>
      <w:r>
        <w:rPr>
          <w:rFonts w:hint="eastAsia" w:ascii="楷体_GB2312" w:eastAsia="楷体_GB2312"/>
          <w:b/>
          <w:spacing w:val="40"/>
          <w:sz w:val="24"/>
          <w:highlight w:val="none"/>
        </w:rPr>
        <w:t>联系人：</w:t>
      </w:r>
    </w:p>
    <w:p w14:paraId="4985AA2C">
      <w:pPr>
        <w:snapToGrid w:val="0"/>
        <w:spacing w:line="360" w:lineRule="auto"/>
        <w:rPr>
          <w:rFonts w:ascii="楷体_GB2312" w:eastAsia="楷体_GB2312"/>
          <w:b/>
          <w:sz w:val="24"/>
          <w:highlight w:val="none"/>
        </w:rPr>
      </w:pPr>
      <w:r>
        <w:rPr>
          <w:rFonts w:hint="eastAsia" w:ascii="楷体_GB2312" w:eastAsia="楷体_GB2312"/>
          <w:b/>
          <w:sz w:val="24"/>
          <w:highlight w:val="none"/>
        </w:rPr>
        <w:t>联系方式：</w:t>
      </w:r>
    </w:p>
    <w:p w14:paraId="65FFB1CA">
      <w:pPr>
        <w:snapToGrid w:val="0"/>
        <w:spacing w:line="360" w:lineRule="auto"/>
        <w:rPr>
          <w:rFonts w:hint="eastAsia" w:ascii="楷体_GB2312" w:eastAsia="楷体_GB2312"/>
          <w:b/>
          <w:sz w:val="24"/>
          <w:lang w:eastAsia="zh-CN"/>
        </w:rPr>
      </w:pPr>
      <w:r>
        <w:rPr>
          <w:rFonts w:hint="eastAsia" w:ascii="楷体_GB2312" w:eastAsia="楷体_GB2312"/>
          <w:b/>
          <w:sz w:val="24"/>
        </w:rPr>
        <w:t>乙    方：</w:t>
      </w:r>
      <w:r>
        <w:rPr>
          <w:rFonts w:hint="eastAsia" w:ascii="楷体_GB2312" w:eastAsia="楷体_GB2312"/>
          <w:b/>
          <w:sz w:val="24"/>
          <w:lang w:eastAsia="zh-CN"/>
        </w:rPr>
        <w:t>XX评估公司</w:t>
      </w:r>
    </w:p>
    <w:p w14:paraId="24F215FC">
      <w:pPr>
        <w:snapToGrid w:val="0"/>
        <w:spacing w:line="360" w:lineRule="auto"/>
        <w:rPr>
          <w:rFonts w:ascii="楷体_GB2312" w:eastAsia="楷体_GB2312"/>
          <w:sz w:val="24"/>
        </w:rPr>
      </w:pPr>
      <w:r>
        <w:rPr>
          <w:rFonts w:hint="eastAsia" w:ascii="楷体_GB2312" w:eastAsia="楷体_GB2312"/>
          <w:b/>
          <w:sz w:val="24"/>
        </w:rPr>
        <w:t>地    址：</w:t>
      </w:r>
    </w:p>
    <w:p w14:paraId="12C45A07">
      <w:pPr>
        <w:snapToGrid w:val="0"/>
        <w:spacing w:line="360" w:lineRule="auto"/>
        <w:rPr>
          <w:rFonts w:hint="eastAsia" w:eastAsia="楷体_GB2312"/>
          <w:b/>
          <w:bCs/>
          <w:sz w:val="24"/>
          <w:lang w:val="en-US" w:eastAsia="zh-CN"/>
        </w:rPr>
      </w:pPr>
      <w:r>
        <w:rPr>
          <w:rFonts w:hint="eastAsia" w:eastAsia="楷体_GB2312"/>
          <w:b/>
          <w:bCs/>
          <w:spacing w:val="40"/>
          <w:sz w:val="24"/>
        </w:rPr>
        <w:t>联系人：</w:t>
      </w:r>
    </w:p>
    <w:p w14:paraId="4DC7182F">
      <w:pPr>
        <w:snapToGrid w:val="0"/>
        <w:spacing w:line="360" w:lineRule="auto"/>
        <w:rPr>
          <w:rFonts w:hint="default" w:eastAsia="楷体_GB2312"/>
          <w:b/>
          <w:bCs/>
          <w:sz w:val="24"/>
          <w:lang w:val="en-US" w:eastAsia="zh-CN"/>
        </w:rPr>
      </w:pPr>
      <w:r>
        <w:rPr>
          <w:rFonts w:hint="eastAsia" w:eastAsia="楷体_GB2312"/>
          <w:b/>
          <w:bCs/>
          <w:sz w:val="24"/>
        </w:rPr>
        <w:t>联系方式：</w:t>
      </w:r>
    </w:p>
    <w:p w14:paraId="1B19CB2F">
      <w:pPr>
        <w:snapToGrid w:val="0"/>
        <w:spacing w:line="360" w:lineRule="auto"/>
        <w:ind w:firstLine="420"/>
        <w:rPr>
          <w:rFonts w:ascii="楷体_GB2312" w:eastAsia="楷体_GB2312"/>
          <w:sz w:val="24"/>
        </w:rPr>
      </w:pPr>
      <w:r>
        <w:rPr>
          <w:rFonts w:eastAsia="楷体_GB2312"/>
          <w:sz w:val="24"/>
        </w:rPr>
        <w:t>经甲乙双方协商，甲</w:t>
      </w:r>
      <w:r>
        <w:rPr>
          <w:rFonts w:eastAsia="楷体_GB2312"/>
          <w:sz w:val="24"/>
          <w:szCs w:val="24"/>
        </w:rPr>
        <w:t>方委托</w:t>
      </w:r>
      <w:r>
        <w:rPr>
          <w:rFonts w:eastAsia="楷体_GB2312"/>
          <w:sz w:val="24"/>
        </w:rPr>
        <w:t>乙</w:t>
      </w:r>
      <w:r>
        <w:rPr>
          <w:rFonts w:eastAsia="楷体_GB2312"/>
          <w:sz w:val="24"/>
          <w:szCs w:val="24"/>
        </w:rPr>
        <w:t>方对下述经济行为涉及的相关资产进行评估，双方</w:t>
      </w:r>
      <w:r>
        <w:rPr>
          <w:rFonts w:eastAsia="楷体_GB2312"/>
          <w:sz w:val="24"/>
        </w:rPr>
        <w:t>达成以下约定：</w:t>
      </w:r>
    </w:p>
    <w:p w14:paraId="1A7C002A">
      <w:pPr>
        <w:snapToGrid w:val="0"/>
        <w:spacing w:line="360" w:lineRule="auto"/>
        <w:ind w:firstLine="482" w:firstLineChars="200"/>
        <w:rPr>
          <w:rFonts w:ascii="楷体_GB2312" w:eastAsia="楷体_GB2312"/>
          <w:b/>
          <w:sz w:val="24"/>
        </w:rPr>
      </w:pPr>
      <w:r>
        <w:rPr>
          <w:rFonts w:hint="eastAsia" w:ascii="楷体_GB2312" w:eastAsia="楷体_GB2312"/>
          <w:b/>
          <w:sz w:val="24"/>
        </w:rPr>
        <w:t>一、评估目的</w:t>
      </w:r>
    </w:p>
    <w:p w14:paraId="03780762">
      <w:pPr>
        <w:snapToGrid w:val="0"/>
        <w:spacing w:line="360" w:lineRule="auto"/>
        <w:ind w:firstLine="480" w:firstLineChars="200"/>
        <w:rPr>
          <w:rFonts w:ascii="楷体_GB2312" w:eastAsia="楷体_GB2312"/>
          <w:sz w:val="24"/>
          <w:szCs w:val="24"/>
        </w:rPr>
      </w:pPr>
      <w:r>
        <w:rPr>
          <w:rFonts w:ascii="楷体_GB2312" w:eastAsia="楷体_GB2312"/>
          <w:sz w:val="24"/>
        </w:rPr>
        <w:t>本次评估目的是反映</w:t>
      </w:r>
      <w:r>
        <w:rPr>
          <w:rFonts w:hint="eastAsia" w:ascii="楷体_GB2312" w:eastAsia="楷体_GB2312"/>
          <w:sz w:val="24"/>
          <w:lang w:eastAsia="zh-CN"/>
        </w:rPr>
        <w:t>XX公司</w:t>
      </w:r>
      <w:r>
        <w:rPr>
          <w:rFonts w:hint="eastAsia" w:ascii="楷体_GB2312" w:eastAsia="楷体_GB2312"/>
          <w:sz w:val="24"/>
          <w:lang w:val="en-US" w:eastAsia="zh-CN"/>
        </w:rPr>
        <w:t>拟处置的报废资产</w:t>
      </w:r>
      <w:r>
        <w:rPr>
          <w:rFonts w:ascii="楷体_GB2312" w:eastAsia="楷体_GB2312"/>
          <w:sz w:val="24"/>
        </w:rPr>
        <w:t>于评估基准日的</w:t>
      </w:r>
      <w:r>
        <w:rPr>
          <w:rFonts w:hint="eastAsia" w:ascii="楷体_GB2312" w:eastAsia="楷体_GB2312"/>
          <w:sz w:val="24"/>
          <w:lang w:val="en-US" w:eastAsia="zh-CN"/>
        </w:rPr>
        <w:t>残余价值</w:t>
      </w:r>
      <w:r>
        <w:rPr>
          <w:rFonts w:ascii="楷体_GB2312" w:eastAsia="楷体_GB2312"/>
          <w:sz w:val="24"/>
        </w:rPr>
        <w:t>，为</w:t>
      </w:r>
      <w:r>
        <w:rPr>
          <w:rFonts w:hint="eastAsia" w:ascii="楷体_GB2312" w:eastAsia="楷体_GB2312"/>
          <w:sz w:val="24"/>
          <w:lang w:eastAsia="zh-CN"/>
        </w:rPr>
        <w:t>XX公司</w:t>
      </w:r>
      <w:r>
        <w:rPr>
          <w:rFonts w:hint="eastAsia" w:ascii="楷体_GB2312" w:eastAsia="楷体_GB2312"/>
          <w:sz w:val="24"/>
        </w:rPr>
        <w:t>拟</w:t>
      </w:r>
      <w:r>
        <w:rPr>
          <w:rFonts w:hint="eastAsia" w:ascii="楷体_GB2312" w:eastAsia="楷体_GB2312"/>
          <w:sz w:val="24"/>
          <w:lang w:val="en-US" w:eastAsia="zh-CN"/>
        </w:rPr>
        <w:t>处置报废资产</w:t>
      </w:r>
      <w:r>
        <w:rPr>
          <w:rFonts w:hint="eastAsia" w:ascii="楷体_GB2312" w:eastAsia="楷体_GB2312"/>
          <w:sz w:val="24"/>
        </w:rPr>
        <w:t>提供</w:t>
      </w:r>
      <w:r>
        <w:rPr>
          <w:rFonts w:hint="eastAsia" w:ascii="楷体_GB2312" w:eastAsia="楷体_GB2312"/>
          <w:sz w:val="24"/>
          <w:lang w:val="en-US" w:eastAsia="zh-CN"/>
        </w:rPr>
        <w:t>价格</w:t>
      </w:r>
      <w:r>
        <w:rPr>
          <w:rFonts w:hint="eastAsia" w:ascii="楷体_GB2312" w:eastAsia="楷体_GB2312"/>
          <w:sz w:val="24"/>
        </w:rPr>
        <w:t>参考依据。</w:t>
      </w:r>
    </w:p>
    <w:p w14:paraId="2FCA1FEA">
      <w:pPr>
        <w:snapToGrid w:val="0"/>
        <w:spacing w:line="360" w:lineRule="auto"/>
        <w:ind w:firstLine="482" w:firstLineChars="200"/>
        <w:rPr>
          <w:rFonts w:ascii="楷体_GB2312" w:eastAsia="楷体_GB2312"/>
          <w:b/>
          <w:sz w:val="24"/>
        </w:rPr>
      </w:pPr>
      <w:r>
        <w:rPr>
          <w:rFonts w:hint="eastAsia" w:ascii="楷体_GB2312" w:eastAsia="楷体_GB2312"/>
          <w:b/>
          <w:sz w:val="24"/>
        </w:rPr>
        <w:t>二、评估对象和评估范围</w:t>
      </w:r>
    </w:p>
    <w:p w14:paraId="65A6B4A3">
      <w:pPr>
        <w:snapToGrid w:val="0"/>
        <w:spacing w:line="360" w:lineRule="auto"/>
        <w:ind w:firstLine="480" w:firstLineChars="200"/>
        <w:rPr>
          <w:rFonts w:ascii="楷体_GB2312" w:eastAsia="楷体_GB2312"/>
          <w:sz w:val="24"/>
        </w:rPr>
      </w:pPr>
      <w:r>
        <w:rPr>
          <w:rFonts w:ascii="楷体_GB2312" w:eastAsia="楷体_GB2312"/>
          <w:sz w:val="24"/>
        </w:rPr>
        <w:t>评估对象为</w:t>
      </w:r>
      <w:r>
        <w:rPr>
          <w:rFonts w:hint="eastAsia" w:ascii="楷体_GB2312" w:eastAsia="楷体_GB2312"/>
          <w:sz w:val="24"/>
          <w:lang w:eastAsia="zh-CN"/>
        </w:rPr>
        <w:t>XX公司</w:t>
      </w:r>
      <w:r>
        <w:rPr>
          <w:rFonts w:hint="eastAsia" w:ascii="楷体_GB2312" w:eastAsia="楷体_GB2312"/>
          <w:sz w:val="24"/>
          <w:lang w:val="en-US" w:eastAsia="zh-CN"/>
        </w:rPr>
        <w:t>拟处置报废资产</w:t>
      </w:r>
      <w:r>
        <w:rPr>
          <w:rFonts w:hint="eastAsia" w:ascii="楷体_GB2312" w:eastAsia="楷体_GB2312"/>
          <w:sz w:val="24"/>
        </w:rPr>
        <w:t>于评估基准日</w:t>
      </w:r>
      <w:r>
        <w:rPr>
          <w:rFonts w:hint="eastAsia" w:ascii="楷体_GB2312" w:eastAsia="楷体_GB2312"/>
          <w:sz w:val="24"/>
          <w:lang w:val="en-US" w:eastAsia="zh-CN"/>
        </w:rPr>
        <w:t>的残余价值</w:t>
      </w:r>
      <w:r>
        <w:rPr>
          <w:rFonts w:hint="eastAsia" w:ascii="楷体_GB2312" w:eastAsia="楷体_GB2312"/>
          <w:sz w:val="24"/>
        </w:rPr>
        <w:t>。</w:t>
      </w:r>
    </w:p>
    <w:p w14:paraId="1C5F48DF">
      <w:pPr>
        <w:snapToGrid w:val="0"/>
        <w:spacing w:line="360" w:lineRule="auto"/>
        <w:ind w:firstLine="480" w:firstLineChars="200"/>
        <w:rPr>
          <w:rFonts w:hint="eastAsia" w:ascii="楷体_GB2312" w:eastAsia="楷体_GB2312"/>
          <w:sz w:val="24"/>
        </w:rPr>
      </w:pPr>
      <w:r>
        <w:rPr>
          <w:rFonts w:hint="eastAsia" w:ascii="楷体_GB2312" w:eastAsia="楷体_GB2312"/>
          <w:sz w:val="24"/>
        </w:rPr>
        <w:t>评估</w:t>
      </w:r>
      <w:r>
        <w:rPr>
          <w:rFonts w:ascii="楷体_GB2312" w:eastAsia="楷体_GB2312"/>
          <w:sz w:val="24"/>
        </w:rPr>
        <w:t>范围为</w:t>
      </w:r>
      <w:r>
        <w:rPr>
          <w:rFonts w:hint="eastAsia" w:ascii="楷体_GB2312" w:eastAsia="楷体_GB2312"/>
          <w:sz w:val="24"/>
          <w:lang w:eastAsia="zh-CN"/>
        </w:rPr>
        <w:t>XX公司</w:t>
      </w:r>
      <w:r>
        <w:rPr>
          <w:rFonts w:hint="eastAsia" w:ascii="楷体_GB2312" w:eastAsia="楷体_GB2312"/>
          <w:sz w:val="24"/>
        </w:rPr>
        <w:t>的</w:t>
      </w:r>
      <w:r>
        <w:rPr>
          <w:rFonts w:hint="eastAsia" w:ascii="楷体_GB2312" w:eastAsia="楷体_GB2312"/>
          <w:sz w:val="24"/>
          <w:lang w:val="en-US" w:eastAsia="zh-CN"/>
        </w:rPr>
        <w:t>申报的报废资产</w:t>
      </w:r>
      <w:r>
        <w:rPr>
          <w:rFonts w:hint="eastAsia" w:ascii="楷体_GB2312" w:eastAsia="楷体_GB2312"/>
          <w:sz w:val="24"/>
        </w:rPr>
        <w:t>，以</w:t>
      </w:r>
      <w:r>
        <w:rPr>
          <w:rFonts w:hint="eastAsia" w:ascii="楷体_GB2312" w:eastAsia="楷体_GB2312"/>
          <w:sz w:val="24"/>
          <w:lang w:eastAsia="zh-CN"/>
        </w:rPr>
        <w:t>XX公司</w:t>
      </w:r>
      <w:r>
        <w:rPr>
          <w:rFonts w:hint="eastAsia" w:ascii="楷体_GB2312" w:eastAsia="楷体_GB2312"/>
          <w:sz w:val="24"/>
        </w:rPr>
        <w:t>提供的《</w:t>
      </w:r>
      <w:r>
        <w:rPr>
          <w:rFonts w:hint="eastAsia" w:ascii="楷体_GB2312" w:eastAsia="楷体_GB2312"/>
          <w:sz w:val="24"/>
          <w:lang w:val="en-US" w:eastAsia="zh-CN"/>
        </w:rPr>
        <w:t>报废资产</w:t>
      </w:r>
      <w:r>
        <w:rPr>
          <w:rFonts w:hint="eastAsia" w:ascii="楷体_GB2312" w:eastAsia="楷体_GB2312"/>
          <w:sz w:val="24"/>
        </w:rPr>
        <w:t>评估申报明细表》为准</w:t>
      </w:r>
      <w:r>
        <w:rPr>
          <w:rFonts w:hint="eastAsia" w:ascii="楷体_GB2312" w:eastAsia="楷体_GB2312"/>
          <w:sz w:val="24"/>
          <w:lang w:eastAsia="zh-CN"/>
        </w:rPr>
        <w:t>（</w:t>
      </w:r>
      <w:r>
        <w:rPr>
          <w:rFonts w:hint="eastAsia" w:ascii="楷体_GB2312" w:eastAsia="楷体_GB2312"/>
          <w:sz w:val="24"/>
          <w:lang w:val="en-US" w:eastAsia="zh-CN"/>
        </w:rPr>
        <w:t>详见附件</w:t>
      </w:r>
      <w:r>
        <w:rPr>
          <w:rFonts w:hint="eastAsia" w:ascii="楷体_GB2312" w:eastAsia="楷体_GB2312"/>
          <w:sz w:val="24"/>
          <w:lang w:eastAsia="zh-CN"/>
        </w:rPr>
        <w:t>）</w:t>
      </w:r>
      <w:r>
        <w:rPr>
          <w:rFonts w:hint="eastAsia" w:ascii="楷体_GB2312" w:eastAsia="楷体_GB2312"/>
          <w:sz w:val="24"/>
        </w:rPr>
        <w:t>。</w:t>
      </w:r>
    </w:p>
    <w:p w14:paraId="362E0B71">
      <w:pPr>
        <w:snapToGrid w:val="0"/>
        <w:spacing w:line="360" w:lineRule="auto"/>
        <w:ind w:firstLine="480" w:firstLineChars="200"/>
        <w:rPr>
          <w:rFonts w:hint="eastAsia" w:ascii="楷体_GB2312" w:eastAsia="楷体_GB2312"/>
          <w:sz w:val="24"/>
        </w:rPr>
      </w:pPr>
      <w:r>
        <w:rPr>
          <w:rFonts w:hint="eastAsia" w:ascii="楷体_GB2312" w:eastAsia="楷体_GB2312"/>
          <w:sz w:val="24"/>
        </w:rPr>
        <w:t>乙方有权对评估范围内的报废资产进行现场盘点，核验实物状态，</w:t>
      </w:r>
    </w:p>
    <w:p w14:paraId="567151EA">
      <w:pPr>
        <w:snapToGrid w:val="0"/>
        <w:spacing w:line="360" w:lineRule="auto"/>
        <w:ind w:firstLine="480" w:firstLineChars="200"/>
        <w:rPr>
          <w:rFonts w:hint="eastAsia" w:ascii="楷体_GB2312" w:eastAsia="楷体_GB2312"/>
          <w:sz w:val="24"/>
        </w:rPr>
      </w:pPr>
      <w:r>
        <w:rPr>
          <w:rFonts w:hint="eastAsia" w:ascii="楷体_GB2312" w:eastAsia="楷体_GB2312"/>
          <w:sz w:val="24"/>
        </w:rPr>
        <w:t>甲方应当配合并提供必要的场地、人员、资料等条件。</w:t>
      </w:r>
    </w:p>
    <w:p w14:paraId="71B94E53">
      <w:pPr>
        <w:snapToGrid w:val="0"/>
        <w:spacing w:line="360" w:lineRule="auto"/>
        <w:ind w:firstLine="482" w:firstLineChars="200"/>
        <w:rPr>
          <w:rFonts w:ascii="楷体_GB2312" w:eastAsia="楷体_GB2312"/>
          <w:b/>
          <w:sz w:val="24"/>
        </w:rPr>
      </w:pPr>
      <w:r>
        <w:rPr>
          <w:rFonts w:hint="eastAsia" w:ascii="楷体_GB2312" w:eastAsia="楷体_GB2312"/>
          <w:b/>
          <w:sz w:val="24"/>
        </w:rPr>
        <w:t>三、评估基准日</w:t>
      </w:r>
    </w:p>
    <w:p w14:paraId="601A346F">
      <w:pPr>
        <w:snapToGrid w:val="0"/>
        <w:spacing w:line="360" w:lineRule="auto"/>
        <w:ind w:firstLine="480" w:firstLineChars="200"/>
        <w:rPr>
          <w:rFonts w:ascii="楷体_GB2312" w:eastAsia="楷体_GB2312"/>
          <w:sz w:val="24"/>
          <w:szCs w:val="24"/>
        </w:rPr>
      </w:pPr>
      <w:r>
        <w:rPr>
          <w:rFonts w:hint="eastAsia" w:ascii="楷体_GB2312" w:eastAsia="楷体_GB2312"/>
          <w:sz w:val="24"/>
          <w:szCs w:val="24"/>
        </w:rPr>
        <w:t>202</w:t>
      </w:r>
      <w:r>
        <w:rPr>
          <w:rFonts w:hint="eastAsia" w:ascii="楷体_GB2312" w:eastAsia="楷体_GB2312"/>
          <w:sz w:val="24"/>
          <w:szCs w:val="24"/>
          <w:lang w:val="en-US" w:eastAsia="zh-CN"/>
        </w:rPr>
        <w:t>6</w:t>
      </w:r>
      <w:r>
        <w:rPr>
          <w:rFonts w:hint="eastAsia" w:ascii="楷体_GB2312" w:eastAsia="楷体_GB2312"/>
          <w:sz w:val="24"/>
          <w:szCs w:val="24"/>
        </w:rPr>
        <w:t>年</w:t>
      </w:r>
      <w:r>
        <w:rPr>
          <w:rFonts w:hint="eastAsia" w:ascii="楷体_GB2312" w:eastAsia="楷体_GB2312"/>
          <w:sz w:val="24"/>
          <w:szCs w:val="24"/>
          <w:lang w:val="en-US" w:eastAsia="zh-CN"/>
        </w:rPr>
        <w:t>X</w:t>
      </w:r>
      <w:r>
        <w:rPr>
          <w:rFonts w:hint="eastAsia" w:ascii="楷体_GB2312" w:eastAsia="楷体_GB2312"/>
          <w:sz w:val="24"/>
          <w:szCs w:val="24"/>
        </w:rPr>
        <w:t>月</w:t>
      </w:r>
      <w:r>
        <w:rPr>
          <w:rFonts w:hint="eastAsia" w:ascii="楷体_GB2312" w:eastAsia="楷体_GB2312"/>
          <w:sz w:val="24"/>
          <w:szCs w:val="24"/>
          <w:lang w:val="en-US" w:eastAsia="zh-CN"/>
        </w:rPr>
        <w:t>X</w:t>
      </w:r>
      <w:r>
        <w:rPr>
          <w:rFonts w:hint="eastAsia" w:ascii="楷体_GB2312" w:eastAsia="楷体_GB2312"/>
          <w:sz w:val="24"/>
          <w:szCs w:val="24"/>
        </w:rPr>
        <w:t>日</w:t>
      </w:r>
    </w:p>
    <w:p w14:paraId="05B501D8">
      <w:pPr>
        <w:snapToGrid w:val="0"/>
        <w:spacing w:line="360" w:lineRule="auto"/>
        <w:ind w:firstLine="482" w:firstLineChars="200"/>
        <w:rPr>
          <w:rFonts w:eastAsia="楷体_GB2312"/>
          <w:b/>
          <w:sz w:val="24"/>
        </w:rPr>
      </w:pPr>
      <w:r>
        <w:rPr>
          <w:rFonts w:ascii="楷体_GB2312" w:eastAsia="楷体_GB2312"/>
          <w:b/>
          <w:sz w:val="24"/>
        </w:rPr>
        <w:t>四、评估报告使用范围</w:t>
      </w:r>
    </w:p>
    <w:p w14:paraId="42203BE5">
      <w:pPr>
        <w:snapToGrid w:val="0"/>
        <w:spacing w:line="360" w:lineRule="auto"/>
        <w:ind w:firstLine="420"/>
        <w:rPr>
          <w:rFonts w:ascii="楷体_GB2312" w:eastAsia="楷体_GB2312"/>
          <w:sz w:val="24"/>
        </w:rPr>
      </w:pPr>
      <w:r>
        <w:rPr>
          <w:rFonts w:ascii="楷体_GB2312" w:eastAsia="楷体_GB2312"/>
          <w:sz w:val="24"/>
        </w:rPr>
        <w:t>１</w:t>
      </w:r>
      <w:r>
        <w:rPr>
          <w:rFonts w:hint="eastAsia" w:ascii="楷体_GB2312" w:eastAsia="楷体_GB2312"/>
          <w:sz w:val="24"/>
        </w:rPr>
        <w:t>.</w:t>
      </w:r>
      <w:r>
        <w:rPr>
          <w:rFonts w:ascii="楷体_GB2312" w:eastAsia="楷体_GB2312"/>
          <w:sz w:val="24"/>
        </w:rPr>
        <w:t>评估报告使用人</w:t>
      </w:r>
    </w:p>
    <w:p w14:paraId="0F3B53C9">
      <w:pPr>
        <w:snapToGrid w:val="0"/>
        <w:spacing w:line="360" w:lineRule="auto"/>
        <w:ind w:firstLine="420"/>
        <w:rPr>
          <w:rFonts w:hint="default" w:ascii="楷体_GB2312" w:eastAsia="楷体_GB2312"/>
          <w:sz w:val="24"/>
          <w:lang w:val="en-US" w:eastAsia="zh-CN"/>
        </w:rPr>
      </w:pPr>
      <w:r>
        <w:rPr>
          <w:rFonts w:hint="eastAsia" w:ascii="楷体_GB2312" w:eastAsia="楷体_GB2312"/>
          <w:sz w:val="24"/>
        </w:rPr>
        <w:t>（1）</w:t>
      </w:r>
      <w:r>
        <w:rPr>
          <w:rFonts w:ascii="楷体_GB2312" w:eastAsia="楷体_GB2312"/>
          <w:sz w:val="24"/>
        </w:rPr>
        <w:t>委托人</w:t>
      </w:r>
      <w:r>
        <w:rPr>
          <w:rFonts w:hint="eastAsia" w:ascii="楷体_GB2312" w:eastAsia="楷体_GB2312"/>
          <w:sz w:val="24"/>
        </w:rPr>
        <w:t>及</w:t>
      </w:r>
      <w:r>
        <w:rPr>
          <w:rFonts w:hint="eastAsia" w:ascii="楷体_GB2312" w:eastAsia="楷体_GB2312"/>
          <w:sz w:val="24"/>
          <w:lang w:val="en-US" w:eastAsia="zh-CN"/>
        </w:rPr>
        <w:t>产权持有单位</w:t>
      </w:r>
    </w:p>
    <w:p w14:paraId="0A134474">
      <w:pPr>
        <w:snapToGrid w:val="0"/>
        <w:spacing w:line="360" w:lineRule="auto"/>
        <w:ind w:firstLine="420"/>
        <w:rPr>
          <w:rFonts w:hint="default" w:ascii="楷体_GB2312" w:eastAsia="楷体_GB2312"/>
          <w:sz w:val="24"/>
          <w:lang w:val="en-US"/>
        </w:rPr>
      </w:pPr>
      <w:r>
        <w:rPr>
          <w:rFonts w:hint="eastAsia" w:ascii="楷体_GB2312" w:eastAsia="楷体_GB2312"/>
          <w:sz w:val="24"/>
          <w:lang w:eastAsia="zh-CN"/>
        </w:rPr>
        <w:t>XX公司、XX公司</w:t>
      </w:r>
    </w:p>
    <w:p w14:paraId="2B21EA70">
      <w:pPr>
        <w:snapToGrid w:val="0"/>
        <w:spacing w:line="360" w:lineRule="auto"/>
        <w:ind w:firstLine="420"/>
        <w:rPr>
          <w:rFonts w:ascii="楷体_GB2312" w:eastAsia="楷体_GB2312"/>
          <w:sz w:val="24"/>
        </w:rPr>
      </w:pPr>
      <w:r>
        <w:rPr>
          <w:rFonts w:hint="eastAsia" w:ascii="楷体_GB2312" w:eastAsia="楷体_GB2312"/>
          <w:sz w:val="24"/>
        </w:rPr>
        <w:t>（2）</w:t>
      </w:r>
      <w:r>
        <w:rPr>
          <w:rFonts w:ascii="楷体_GB2312" w:eastAsia="楷体_GB2312"/>
          <w:sz w:val="24"/>
        </w:rPr>
        <w:t>其他评估报告使用人</w:t>
      </w:r>
    </w:p>
    <w:p w14:paraId="0CF8E2AE">
      <w:pPr>
        <w:snapToGrid w:val="0"/>
        <w:spacing w:line="360" w:lineRule="auto"/>
        <w:ind w:firstLine="420"/>
        <w:rPr>
          <w:rFonts w:ascii="楷体_GB2312" w:eastAsia="楷体_GB2312"/>
          <w:sz w:val="24"/>
        </w:rPr>
      </w:pPr>
      <w:r>
        <w:rPr>
          <w:rFonts w:hint="eastAsia" w:ascii="楷体_GB2312" w:eastAsia="楷体_GB2312"/>
          <w:sz w:val="24"/>
        </w:rPr>
        <w:t>本评估报告的使用人为委托人、经济行为相关的当事人以及按照相关规定的相关监管机构。</w:t>
      </w:r>
    </w:p>
    <w:p w14:paraId="34CE3DD5">
      <w:pPr>
        <w:snapToGrid w:val="0"/>
        <w:spacing w:line="360" w:lineRule="auto"/>
        <w:ind w:firstLine="420"/>
        <w:rPr>
          <w:rFonts w:ascii="楷体_GB2312" w:eastAsia="楷体_GB2312"/>
          <w:sz w:val="24"/>
        </w:rPr>
      </w:pPr>
      <w:r>
        <w:rPr>
          <w:rFonts w:hint="eastAsia" w:ascii="楷体_GB2312" w:eastAsia="楷体_GB2312"/>
          <w:sz w:val="24"/>
        </w:rPr>
        <w:t>除国家法律法规另有规定外，任何未经评估机构和委托人确认的机构或个人不能由于得到评估报告而成为评估报告使用人</w:t>
      </w:r>
      <w:r>
        <w:rPr>
          <w:rFonts w:ascii="楷体_GB2312" w:eastAsia="楷体_GB2312"/>
          <w:sz w:val="24"/>
        </w:rPr>
        <w:t>。</w:t>
      </w:r>
    </w:p>
    <w:p w14:paraId="5A7B3FEC">
      <w:pPr>
        <w:snapToGrid w:val="0"/>
        <w:spacing w:line="360" w:lineRule="auto"/>
        <w:ind w:firstLine="420"/>
        <w:rPr>
          <w:rFonts w:ascii="楷体_GB2312" w:eastAsia="楷体_GB2312"/>
          <w:sz w:val="24"/>
        </w:rPr>
      </w:pPr>
      <w:r>
        <w:rPr>
          <w:rFonts w:hint="eastAsia" w:ascii="楷体_GB2312" w:eastAsia="楷体_GB2312"/>
          <w:sz w:val="24"/>
        </w:rPr>
        <w:t>2.</w:t>
      </w:r>
      <w:r>
        <w:rPr>
          <w:rFonts w:ascii="楷体_GB2312" w:eastAsia="楷体_GB2312"/>
          <w:sz w:val="24"/>
        </w:rPr>
        <w:t>评估报告使用目的及用途</w:t>
      </w:r>
    </w:p>
    <w:p w14:paraId="52E11DAE">
      <w:pPr>
        <w:snapToGrid w:val="0"/>
        <w:spacing w:line="360" w:lineRule="auto"/>
        <w:ind w:firstLine="420"/>
        <w:rPr>
          <w:rFonts w:ascii="楷体_GB2312" w:eastAsia="楷体_GB2312"/>
          <w:sz w:val="24"/>
        </w:rPr>
      </w:pPr>
      <w:r>
        <w:rPr>
          <w:rFonts w:ascii="楷体_GB2312" w:eastAsia="楷体_GB2312"/>
          <w:sz w:val="24"/>
        </w:rPr>
        <w:t>委托人或者评估报告使用人应当按照法律规定和评估报告载明的使用目的及用途使用评估报告。</w:t>
      </w:r>
    </w:p>
    <w:p w14:paraId="5FA505D5">
      <w:pPr>
        <w:snapToGrid w:val="0"/>
        <w:spacing w:line="360" w:lineRule="auto"/>
        <w:ind w:firstLine="420"/>
        <w:rPr>
          <w:rFonts w:ascii="楷体_GB2312" w:eastAsia="楷体_GB2312"/>
          <w:sz w:val="24"/>
        </w:rPr>
      </w:pPr>
      <w:r>
        <w:rPr>
          <w:rFonts w:hint="eastAsia" w:ascii="楷体_GB2312" w:eastAsia="楷体_GB2312"/>
          <w:sz w:val="24"/>
        </w:rPr>
        <w:t>3.</w:t>
      </w:r>
      <w:r>
        <w:rPr>
          <w:rFonts w:ascii="楷体_GB2312" w:eastAsia="楷体_GB2312"/>
          <w:sz w:val="24"/>
        </w:rPr>
        <w:t>评估报告使用时效</w:t>
      </w:r>
    </w:p>
    <w:p w14:paraId="530C6626">
      <w:pPr>
        <w:snapToGrid w:val="0"/>
        <w:spacing w:line="360" w:lineRule="auto"/>
        <w:ind w:firstLine="420"/>
        <w:rPr>
          <w:rFonts w:ascii="楷体_GB2312" w:eastAsia="楷体_GB2312"/>
          <w:sz w:val="24"/>
        </w:rPr>
      </w:pPr>
      <w:r>
        <w:rPr>
          <w:rFonts w:ascii="楷体_GB2312" w:eastAsia="楷体_GB2312"/>
          <w:sz w:val="24"/>
        </w:rPr>
        <w:t>评估报告应在评估报告中载明的有效使用期内使用。</w:t>
      </w:r>
    </w:p>
    <w:p w14:paraId="48FB6F44">
      <w:pPr>
        <w:snapToGrid w:val="0"/>
        <w:spacing w:line="360" w:lineRule="auto"/>
        <w:ind w:firstLine="420"/>
        <w:rPr>
          <w:rFonts w:ascii="楷体_GB2312" w:eastAsia="楷体_GB2312"/>
          <w:sz w:val="24"/>
        </w:rPr>
      </w:pPr>
      <w:r>
        <w:rPr>
          <w:rFonts w:hint="eastAsia" w:ascii="楷体_GB2312" w:eastAsia="楷体_GB2312"/>
          <w:sz w:val="24"/>
        </w:rPr>
        <w:t>4.</w:t>
      </w:r>
      <w:r>
        <w:rPr>
          <w:rFonts w:ascii="楷体_GB2312" w:eastAsia="楷体_GB2312"/>
          <w:sz w:val="24"/>
        </w:rPr>
        <w:t>报告的摘抄引用或披露</w:t>
      </w:r>
    </w:p>
    <w:p w14:paraId="432DC3BF">
      <w:pPr>
        <w:snapToGrid w:val="0"/>
        <w:spacing w:line="360" w:lineRule="auto"/>
        <w:ind w:firstLine="420"/>
        <w:rPr>
          <w:rFonts w:ascii="楷体_GB2312" w:eastAsia="楷体_GB2312"/>
          <w:sz w:val="24"/>
        </w:rPr>
      </w:pPr>
      <w:r>
        <w:rPr>
          <w:rFonts w:hint="eastAsia" w:ascii="楷体_GB2312" w:eastAsia="楷体_GB2312"/>
          <w:sz w:val="24"/>
        </w:rPr>
        <w:t>（1）</w:t>
      </w:r>
      <w:r>
        <w:rPr>
          <w:rFonts w:ascii="楷体_GB2312" w:eastAsia="楷体_GB2312"/>
          <w:sz w:val="24"/>
        </w:rPr>
        <w:t>未经委托人书面许可，资产评估机构、资产评估师和其他资产评估专业人员不得将评估报告的内容向第三方提供或者公开，法律、法规另有规定的除外。</w:t>
      </w:r>
    </w:p>
    <w:p w14:paraId="75A4FEF8">
      <w:pPr>
        <w:snapToGrid w:val="0"/>
        <w:spacing w:line="360" w:lineRule="auto"/>
        <w:ind w:firstLine="420"/>
        <w:rPr>
          <w:rFonts w:ascii="楷体_GB2312" w:eastAsia="楷体_GB2312"/>
          <w:sz w:val="24"/>
        </w:rPr>
      </w:pPr>
      <w:r>
        <w:rPr>
          <w:rFonts w:hint="eastAsia" w:ascii="楷体_GB2312" w:eastAsia="楷体_GB2312"/>
          <w:sz w:val="24"/>
        </w:rPr>
        <w:t>（2）</w:t>
      </w:r>
      <w:r>
        <w:rPr>
          <w:rFonts w:ascii="楷体_GB2312" w:eastAsia="楷体_GB2312"/>
          <w:sz w:val="24"/>
        </w:rPr>
        <w:t>未征得评估机构同意，评估报告的内容不得被摘抄、引用或者披露于公开媒体， 法律、法规规定以及相关当事人另有约定的除外。</w:t>
      </w:r>
    </w:p>
    <w:p w14:paraId="6275150B">
      <w:pPr>
        <w:snapToGrid w:val="0"/>
        <w:spacing w:line="360" w:lineRule="auto"/>
        <w:ind w:firstLine="420"/>
        <w:rPr>
          <w:rFonts w:ascii="楷体_GB2312" w:eastAsia="楷体_GB2312"/>
          <w:sz w:val="24"/>
        </w:rPr>
      </w:pPr>
      <w:r>
        <w:rPr>
          <w:rFonts w:ascii="楷体_GB2312" w:eastAsia="楷体_GB2312"/>
          <w:sz w:val="24"/>
        </w:rPr>
        <w:t>委托人或者评估报告使用人违反前述要求使用评估报告的，资产评估机构、资产评估师和其他资产评估专业人员不承担责任。</w:t>
      </w:r>
    </w:p>
    <w:p w14:paraId="52CC69D5">
      <w:pPr>
        <w:snapToGrid w:val="0"/>
        <w:spacing w:line="360" w:lineRule="auto"/>
        <w:ind w:firstLine="420"/>
        <w:rPr>
          <w:rFonts w:eastAsia="楷体_GB2312"/>
          <w:b/>
          <w:sz w:val="24"/>
        </w:rPr>
      </w:pPr>
      <w:r>
        <w:rPr>
          <w:rFonts w:eastAsia="楷体_GB2312"/>
          <w:b/>
          <w:sz w:val="24"/>
        </w:rPr>
        <w:t>五、评估服务费及支付方式</w:t>
      </w:r>
    </w:p>
    <w:p w14:paraId="7C56EC37">
      <w:pPr>
        <w:snapToGrid w:val="0"/>
        <w:spacing w:line="360" w:lineRule="auto"/>
        <w:ind w:firstLine="420"/>
        <w:rPr>
          <w:rFonts w:eastAsia="楷体_GB2312"/>
          <w:sz w:val="24"/>
        </w:rPr>
      </w:pPr>
      <w:r>
        <w:rPr>
          <w:rFonts w:eastAsia="楷体_GB2312"/>
          <w:sz w:val="24"/>
        </w:rPr>
        <w:t>1</w:t>
      </w:r>
      <w:r>
        <w:rPr>
          <w:rFonts w:hint="eastAsia" w:eastAsia="楷体_GB2312"/>
          <w:sz w:val="24"/>
        </w:rPr>
        <w:t>.</w:t>
      </w:r>
      <w:r>
        <w:rPr>
          <w:rFonts w:eastAsia="楷体_GB2312"/>
          <w:sz w:val="24"/>
        </w:rPr>
        <w:t>评估服务费支付方式：    转账</w:t>
      </w:r>
      <w:r>
        <w:rPr>
          <w:rFonts w:eastAsia="楷体_GB2312"/>
          <w:sz w:val="24"/>
        </w:rPr>
        <w:sym w:font="Wingdings 2" w:char="F052"/>
      </w:r>
      <w:r>
        <w:rPr>
          <w:rFonts w:eastAsia="楷体_GB2312"/>
          <w:sz w:val="24"/>
        </w:rPr>
        <w:t xml:space="preserve">    现金</w:t>
      </w:r>
      <w:r>
        <w:rPr>
          <w:rFonts w:hint="eastAsia" w:ascii="楷体_GB2312" w:eastAsia="楷体_GB2312"/>
          <w:sz w:val="24"/>
        </w:rPr>
        <w:t>□</w:t>
      </w:r>
      <w:r>
        <w:rPr>
          <w:rFonts w:eastAsia="楷体_GB2312"/>
          <w:sz w:val="24"/>
        </w:rPr>
        <w:t xml:space="preserve">    汇票</w:t>
      </w:r>
      <w:r>
        <w:rPr>
          <w:rFonts w:hint="eastAsia" w:ascii="楷体_GB2312" w:eastAsia="楷体_GB2312"/>
          <w:sz w:val="24"/>
        </w:rPr>
        <w:t>□</w:t>
      </w:r>
      <w:r>
        <w:rPr>
          <w:rFonts w:eastAsia="楷体_GB2312"/>
          <w:sz w:val="24"/>
        </w:rPr>
        <w:t xml:space="preserve">    其他</w:t>
      </w:r>
      <w:r>
        <w:rPr>
          <w:rFonts w:hint="eastAsia" w:ascii="楷体_GB2312" w:eastAsia="楷体_GB2312"/>
          <w:sz w:val="24"/>
        </w:rPr>
        <w:t>□</w:t>
      </w:r>
    </w:p>
    <w:p w14:paraId="27907048">
      <w:pPr>
        <w:snapToGrid w:val="0"/>
        <w:spacing w:line="360" w:lineRule="auto"/>
        <w:ind w:firstLine="420"/>
        <w:rPr>
          <w:rFonts w:eastAsia="楷体_GB2312"/>
          <w:sz w:val="24"/>
        </w:rPr>
      </w:pPr>
      <w:r>
        <w:rPr>
          <w:rFonts w:eastAsia="楷体_GB2312"/>
          <w:sz w:val="24"/>
        </w:rPr>
        <w:t>2</w:t>
      </w:r>
      <w:r>
        <w:rPr>
          <w:rFonts w:hint="eastAsia" w:eastAsia="楷体_GB2312"/>
          <w:sz w:val="24"/>
        </w:rPr>
        <w:t>.</w:t>
      </w:r>
      <w:r>
        <w:rPr>
          <w:rFonts w:eastAsia="楷体_GB2312"/>
          <w:sz w:val="24"/>
        </w:rPr>
        <w:t>评估服务费：</w:t>
      </w:r>
    </w:p>
    <w:p w14:paraId="02E6E827">
      <w:pPr>
        <w:snapToGrid w:val="0"/>
        <w:spacing w:line="360" w:lineRule="auto"/>
        <w:ind w:left="479" w:leftChars="228"/>
        <w:rPr>
          <w:rFonts w:hint="eastAsia" w:eastAsia="楷体_GB2312"/>
          <w:sz w:val="24"/>
        </w:rPr>
      </w:pPr>
      <w:r>
        <w:rPr>
          <w:rFonts w:hint="eastAsia" w:eastAsia="楷体_GB2312"/>
          <w:sz w:val="24"/>
        </w:rPr>
        <w:t>（1）经双方协商，本项目评估服务费总额为人民币 ______ 元</w:t>
      </w:r>
    </w:p>
    <w:p w14:paraId="49F5A444">
      <w:pPr>
        <w:snapToGrid w:val="0"/>
        <w:spacing w:line="360" w:lineRule="auto"/>
        <w:ind w:left="479" w:leftChars="228"/>
        <w:rPr>
          <w:rFonts w:hint="eastAsia" w:eastAsia="楷体_GB2312"/>
          <w:sz w:val="24"/>
        </w:rPr>
      </w:pPr>
      <w:r>
        <w:rPr>
          <w:rFonts w:hint="eastAsia" w:eastAsia="楷体_GB2312"/>
          <w:sz w:val="24"/>
        </w:rPr>
        <w:t xml:space="preserve">   （大写：人民币 ______ 元整）。</w:t>
      </w:r>
    </w:p>
    <w:p w14:paraId="41F37BC2">
      <w:pPr>
        <w:snapToGrid w:val="0"/>
        <w:spacing w:line="360" w:lineRule="auto"/>
        <w:ind w:left="479" w:leftChars="228"/>
        <w:rPr>
          <w:rFonts w:hint="eastAsia" w:eastAsia="楷体_GB2312"/>
          <w:sz w:val="24"/>
        </w:rPr>
      </w:pPr>
      <w:r>
        <w:rPr>
          <w:rFonts w:hint="eastAsia" w:eastAsia="楷体_GB2312"/>
          <w:sz w:val="24"/>
        </w:rPr>
        <w:t xml:space="preserve">   本价格为含税价，增值税税率为 </w:t>
      </w:r>
      <w:r>
        <w:rPr>
          <w:rFonts w:hint="eastAsia" w:eastAsia="楷体_GB2312"/>
          <w:sz w:val="24"/>
          <w:u w:val="single"/>
          <w:lang w:val="en-US" w:eastAsia="zh-CN"/>
        </w:rPr>
        <w:t xml:space="preserve"> 1 </w:t>
      </w:r>
      <w:r>
        <w:rPr>
          <w:rFonts w:hint="eastAsia" w:eastAsia="楷体_GB2312"/>
          <w:sz w:val="24"/>
        </w:rPr>
        <w:t xml:space="preserve"> %，不含税金额为人民币 ______ 元。</w:t>
      </w:r>
    </w:p>
    <w:p w14:paraId="60A8227E">
      <w:pPr>
        <w:snapToGrid w:val="0"/>
        <w:spacing w:line="360" w:lineRule="auto"/>
        <w:ind w:left="479" w:leftChars="228"/>
        <w:rPr>
          <w:rFonts w:hint="default" w:eastAsia="楷体_GB2312"/>
          <w:sz w:val="24"/>
          <w:highlight w:val="red"/>
          <w:lang w:val="en-US" w:eastAsia="zh-CN"/>
        </w:rPr>
      </w:pPr>
      <w:r>
        <w:rPr>
          <w:rFonts w:hint="eastAsia" w:eastAsia="楷体_GB2312"/>
          <w:sz w:val="24"/>
        </w:rPr>
        <w:t xml:space="preserve">   （此金额为开具增值税专用发票的金额。）</w:t>
      </w:r>
    </w:p>
    <w:p w14:paraId="60218A3C">
      <w:pPr>
        <w:snapToGrid w:val="0"/>
        <w:spacing w:line="360" w:lineRule="auto"/>
        <w:ind w:firstLine="480"/>
        <w:rPr>
          <w:rFonts w:ascii="楷体_GB2312" w:eastAsia="楷体_GB2312"/>
          <w:sz w:val="24"/>
        </w:rPr>
      </w:pPr>
      <w:r>
        <w:rPr>
          <w:rFonts w:ascii="楷体_GB2312" w:eastAsia="楷体_GB2312"/>
          <w:sz w:val="24"/>
        </w:rPr>
        <w:t>（2）评估服务费支付方式：</w:t>
      </w:r>
      <w:r>
        <w:rPr>
          <w:rFonts w:hint="eastAsia" w:ascii="楷体_GB2312" w:eastAsia="楷体_GB2312"/>
          <w:sz w:val="24"/>
          <w:lang w:val="en-US" w:eastAsia="zh-CN"/>
        </w:rPr>
        <w:t>残余资产按照评估结果处置完成</w:t>
      </w:r>
      <w:r>
        <w:rPr>
          <w:rFonts w:hint="eastAsia" w:ascii="楷体_GB2312" w:hAnsi="Times New Roman" w:eastAsia="楷体_GB2312" w:cs="Times New Roman"/>
          <w:sz w:val="24"/>
          <w:lang w:val="en-US" w:eastAsia="zh-CN"/>
        </w:rPr>
        <w:t>、乙方提交等额合法合规的增值税专用发票后</w:t>
      </w:r>
      <w:r>
        <w:rPr>
          <w:rFonts w:hint="eastAsia" w:ascii="楷体_GB2312" w:hAnsi="Times New Roman" w:eastAsia="楷体_GB2312" w:cs="Times New Roman"/>
          <w:sz w:val="24"/>
          <w:lang w:eastAsia="zh-CN"/>
        </w:rPr>
        <w:t>，</w:t>
      </w:r>
      <w:r>
        <w:rPr>
          <w:rFonts w:hint="eastAsia" w:ascii="楷体_GB2312" w:eastAsia="楷体_GB2312"/>
          <w:sz w:val="24"/>
        </w:rPr>
        <w:t>一次</w:t>
      </w:r>
      <w:bookmarkStart w:id="0" w:name="_GoBack"/>
      <w:bookmarkEnd w:id="0"/>
      <w:r>
        <w:rPr>
          <w:rFonts w:hint="eastAsia" w:ascii="楷体_GB2312" w:eastAsia="楷体_GB2312"/>
          <w:sz w:val="24"/>
        </w:rPr>
        <w:t>性支付评估费</w:t>
      </w:r>
      <w:r>
        <w:rPr>
          <w:rFonts w:ascii="楷体_GB2312" w:eastAsia="楷体_GB2312"/>
          <w:sz w:val="24"/>
        </w:rPr>
        <w:t>。</w:t>
      </w:r>
    </w:p>
    <w:p w14:paraId="64864E81">
      <w:pPr>
        <w:snapToGrid w:val="0"/>
        <w:spacing w:line="360" w:lineRule="auto"/>
        <w:ind w:firstLine="480"/>
        <w:rPr>
          <w:rFonts w:ascii="楷体_GB2312" w:eastAsia="楷体_GB2312"/>
          <w:sz w:val="24"/>
        </w:rPr>
      </w:pPr>
      <w:r>
        <w:rPr>
          <w:rFonts w:ascii="楷体_GB2312" w:eastAsia="楷体_GB2312"/>
          <w:sz w:val="24"/>
        </w:rPr>
        <w:t>（3）评估费用由甲方支付。</w:t>
      </w:r>
    </w:p>
    <w:p w14:paraId="6440A4F8">
      <w:pPr>
        <w:snapToGrid w:val="0"/>
        <w:spacing w:line="360" w:lineRule="auto"/>
        <w:ind w:firstLine="480"/>
        <w:rPr>
          <w:rFonts w:ascii="楷体_GB2312" w:eastAsia="楷体_GB2312"/>
          <w:sz w:val="24"/>
        </w:rPr>
      </w:pPr>
      <w:r>
        <w:rPr>
          <w:rFonts w:ascii="楷体_GB2312" w:eastAsia="楷体_GB2312"/>
          <w:sz w:val="24"/>
        </w:rPr>
        <w:t>（4）以上评估收费包括执行业务过程中所发生的差旅、交通、住宿费</w:t>
      </w:r>
      <w:r>
        <w:rPr>
          <w:rFonts w:hint="eastAsia" w:ascii="楷体_GB2312" w:eastAsia="楷体_GB2312"/>
          <w:sz w:val="24"/>
          <w:lang w:val="en-US" w:eastAsia="zh-CN"/>
        </w:rPr>
        <w:t>等</w:t>
      </w:r>
      <w:r>
        <w:rPr>
          <w:rFonts w:ascii="楷体_GB2312" w:eastAsia="楷体_GB2312"/>
          <w:sz w:val="24"/>
        </w:rPr>
        <w:t>。</w:t>
      </w:r>
    </w:p>
    <w:p w14:paraId="20963642">
      <w:pPr>
        <w:snapToGrid w:val="0"/>
        <w:spacing w:line="360" w:lineRule="auto"/>
        <w:ind w:firstLine="420"/>
        <w:rPr>
          <w:rFonts w:eastAsia="楷体_GB2312"/>
          <w:b/>
          <w:sz w:val="24"/>
        </w:rPr>
      </w:pPr>
      <w:r>
        <w:rPr>
          <w:rFonts w:eastAsia="楷体_GB2312"/>
          <w:b/>
          <w:sz w:val="24"/>
        </w:rPr>
        <w:t>六、评估报告提交期限和方式</w:t>
      </w:r>
    </w:p>
    <w:p w14:paraId="108DE863">
      <w:pPr>
        <w:snapToGrid w:val="0"/>
        <w:spacing w:line="360" w:lineRule="auto"/>
        <w:ind w:firstLine="420"/>
        <w:rPr>
          <w:rFonts w:ascii="楷体_GB2312" w:eastAsia="楷体_GB2312"/>
          <w:sz w:val="24"/>
        </w:rPr>
      </w:pPr>
      <w:r>
        <w:rPr>
          <w:rFonts w:ascii="楷体_GB2312" w:eastAsia="楷体_GB2312"/>
          <w:sz w:val="24"/>
        </w:rPr>
        <w:t>１</w:t>
      </w:r>
      <w:r>
        <w:rPr>
          <w:rFonts w:hint="eastAsia" w:ascii="楷体_GB2312" w:eastAsia="楷体_GB2312"/>
          <w:sz w:val="24"/>
        </w:rPr>
        <w:t>.</w:t>
      </w:r>
      <w:r>
        <w:rPr>
          <w:rFonts w:ascii="楷体_GB2312" w:eastAsia="楷体_GB2312"/>
          <w:sz w:val="24"/>
        </w:rPr>
        <w:t>在甲方按时提交评估所需资料、乙方能够正常开展评估工作的前提下，乙方提交评估报告时间为甲方提交评估所需资料后</w:t>
      </w:r>
      <w:r>
        <w:rPr>
          <w:rFonts w:hint="eastAsia" w:ascii="楷体_GB2312" w:eastAsia="楷体_GB2312"/>
          <w:sz w:val="24"/>
        </w:rPr>
        <w:t>10</w:t>
      </w:r>
      <w:r>
        <w:rPr>
          <w:rFonts w:ascii="楷体_GB2312" w:eastAsia="楷体_GB2312"/>
          <w:sz w:val="24"/>
        </w:rPr>
        <w:t>个工作日内。</w:t>
      </w:r>
    </w:p>
    <w:p w14:paraId="6E3DE776">
      <w:pPr>
        <w:snapToGrid w:val="0"/>
        <w:spacing w:line="360" w:lineRule="auto"/>
        <w:ind w:firstLine="420"/>
        <w:rPr>
          <w:rFonts w:ascii="楷体_GB2312" w:eastAsia="楷体_GB2312"/>
          <w:sz w:val="24"/>
        </w:rPr>
      </w:pPr>
      <w:r>
        <w:rPr>
          <w:rFonts w:hint="eastAsia" w:ascii="楷体_GB2312" w:eastAsia="楷体_GB2312"/>
          <w:sz w:val="24"/>
        </w:rPr>
        <w:t>2.</w:t>
      </w:r>
      <w:r>
        <w:rPr>
          <w:rFonts w:ascii="楷体_GB2312" w:eastAsia="楷体_GB2312"/>
          <w:sz w:val="24"/>
        </w:rPr>
        <w:t>报告提交方式为乙方送达甲方办公地址、乙方邮寄至甲方办公地址、乙方通知甲方至乙方办公地址签收等</w:t>
      </w:r>
      <w:r>
        <w:rPr>
          <w:rFonts w:hint="eastAsia" w:ascii="楷体_GB2312" w:eastAsia="楷体_GB2312"/>
          <w:sz w:val="24"/>
        </w:rPr>
        <w:t>某一</w:t>
      </w:r>
      <w:r>
        <w:rPr>
          <w:rFonts w:ascii="楷体_GB2312" w:eastAsia="楷体_GB2312"/>
          <w:sz w:val="24"/>
        </w:rPr>
        <w:t>方式。</w:t>
      </w:r>
    </w:p>
    <w:p w14:paraId="379D31F5">
      <w:pPr>
        <w:snapToGrid w:val="0"/>
        <w:spacing w:line="360" w:lineRule="auto"/>
        <w:ind w:firstLine="420"/>
        <w:rPr>
          <w:rFonts w:ascii="楷体_GB2312" w:eastAsia="楷体_GB2312"/>
          <w:b/>
          <w:sz w:val="24"/>
        </w:rPr>
      </w:pPr>
      <w:r>
        <w:rPr>
          <w:rFonts w:hint="eastAsia" w:ascii="楷体_GB2312" w:eastAsia="楷体_GB2312"/>
          <w:b/>
          <w:sz w:val="24"/>
        </w:rPr>
        <w:t>七、双方权利与义务</w:t>
      </w:r>
    </w:p>
    <w:p w14:paraId="2C439416">
      <w:pPr>
        <w:snapToGrid w:val="0"/>
        <w:spacing w:line="360" w:lineRule="auto"/>
        <w:ind w:firstLine="420"/>
        <w:rPr>
          <w:rFonts w:ascii="楷体_GB2312" w:eastAsia="楷体_GB2312"/>
          <w:sz w:val="24"/>
        </w:rPr>
      </w:pPr>
      <w:r>
        <w:rPr>
          <w:rFonts w:hint="eastAsia" w:ascii="楷体_GB2312" w:eastAsia="楷体_GB2312"/>
          <w:sz w:val="24"/>
        </w:rPr>
        <w:t>甲方的权利：</w:t>
      </w:r>
    </w:p>
    <w:p w14:paraId="44A72BD9">
      <w:pPr>
        <w:snapToGrid w:val="0"/>
        <w:spacing w:line="360" w:lineRule="auto"/>
        <w:ind w:firstLine="420"/>
        <w:rPr>
          <w:rFonts w:ascii="楷体_GB2312" w:eastAsia="楷体_GB2312"/>
          <w:sz w:val="24"/>
        </w:rPr>
      </w:pPr>
      <w:r>
        <w:rPr>
          <w:rFonts w:ascii="楷体_GB2312" w:eastAsia="楷体_GB2312"/>
          <w:sz w:val="24"/>
        </w:rPr>
        <w:t>1</w:t>
      </w:r>
      <w:r>
        <w:rPr>
          <w:rFonts w:hint="eastAsia" w:ascii="楷体_GB2312" w:eastAsia="楷体_GB2312"/>
          <w:sz w:val="24"/>
        </w:rPr>
        <w:t>．甲方有权要求乙方按约定时间提交资产评估报告；</w:t>
      </w:r>
    </w:p>
    <w:p w14:paraId="1E7FF650">
      <w:pPr>
        <w:snapToGrid w:val="0"/>
        <w:spacing w:line="360" w:lineRule="auto"/>
        <w:ind w:firstLine="420"/>
        <w:rPr>
          <w:rFonts w:ascii="楷体_GB2312" w:eastAsia="楷体_GB2312"/>
          <w:sz w:val="24"/>
        </w:rPr>
      </w:pPr>
      <w:r>
        <w:rPr>
          <w:rFonts w:ascii="楷体_GB2312" w:eastAsia="楷体_GB2312"/>
          <w:sz w:val="24"/>
        </w:rPr>
        <w:t>2</w:t>
      </w:r>
      <w:r>
        <w:rPr>
          <w:rFonts w:hint="eastAsia" w:ascii="楷体_GB2312" w:eastAsia="楷体_GB2312"/>
          <w:sz w:val="24"/>
        </w:rPr>
        <w:t>．甲方有权要求乙方保守甲方的商业机密，未经甲方允许乙方不得随意向除资产评估主管机关、企业主管部门以外的他人提供或公开资产评估报告的内容；</w:t>
      </w:r>
    </w:p>
    <w:p w14:paraId="18B99F51">
      <w:pPr>
        <w:snapToGrid w:val="0"/>
        <w:spacing w:line="360" w:lineRule="auto"/>
        <w:ind w:firstLine="420"/>
        <w:rPr>
          <w:rFonts w:ascii="楷体_GB2312" w:eastAsia="楷体_GB2312"/>
          <w:sz w:val="24"/>
        </w:rPr>
      </w:pPr>
      <w:r>
        <w:rPr>
          <w:rFonts w:ascii="楷体_GB2312" w:eastAsia="楷体_GB2312"/>
          <w:sz w:val="24"/>
        </w:rPr>
        <w:t>3</w:t>
      </w:r>
      <w:r>
        <w:rPr>
          <w:rFonts w:hint="eastAsia" w:ascii="楷体_GB2312" w:eastAsia="楷体_GB2312"/>
          <w:sz w:val="24"/>
        </w:rPr>
        <w:t>．在不干涉评估工作的前提下，甲方有权要求乙方对评估报告作出解释。</w:t>
      </w:r>
    </w:p>
    <w:p w14:paraId="63934594">
      <w:pPr>
        <w:snapToGrid w:val="0"/>
        <w:spacing w:line="360" w:lineRule="auto"/>
        <w:ind w:firstLine="420"/>
        <w:rPr>
          <w:rFonts w:ascii="楷体_GB2312" w:eastAsia="楷体_GB2312"/>
          <w:sz w:val="24"/>
        </w:rPr>
      </w:pPr>
      <w:r>
        <w:rPr>
          <w:rFonts w:hint="eastAsia" w:ascii="楷体_GB2312" w:eastAsia="楷体_GB2312"/>
          <w:sz w:val="24"/>
        </w:rPr>
        <w:t>甲方的义务：</w:t>
      </w:r>
    </w:p>
    <w:p w14:paraId="24DF4FDC">
      <w:pPr>
        <w:snapToGrid w:val="0"/>
        <w:spacing w:line="360" w:lineRule="auto"/>
        <w:ind w:firstLine="420"/>
        <w:rPr>
          <w:rFonts w:ascii="楷体_GB2312" w:eastAsia="楷体_GB2312"/>
          <w:sz w:val="24"/>
        </w:rPr>
      </w:pPr>
      <w:r>
        <w:rPr>
          <w:rFonts w:ascii="楷体_GB2312" w:eastAsia="楷体_GB2312"/>
          <w:sz w:val="24"/>
        </w:rPr>
        <w:t>1</w:t>
      </w:r>
      <w:r>
        <w:rPr>
          <w:rFonts w:hint="eastAsia" w:ascii="楷体_GB2312" w:eastAsia="楷体_GB2312"/>
          <w:sz w:val="24"/>
        </w:rPr>
        <w:t>．本合同一经签定，甲方不得在约定解除或终止前委托其他评估机构进行同一内容的评估，不得以不正当理由要求修改约定或减少评估收费金额；</w:t>
      </w:r>
    </w:p>
    <w:p w14:paraId="16D866C3">
      <w:pPr>
        <w:snapToGrid w:val="0"/>
        <w:spacing w:line="360" w:lineRule="auto"/>
        <w:ind w:firstLine="420"/>
        <w:rPr>
          <w:rFonts w:ascii="楷体_GB2312" w:eastAsia="楷体_GB2312"/>
          <w:sz w:val="24"/>
        </w:rPr>
      </w:pPr>
      <w:r>
        <w:rPr>
          <w:rFonts w:ascii="楷体_GB2312" w:eastAsia="楷体_GB2312"/>
          <w:sz w:val="24"/>
        </w:rPr>
        <w:t>2</w:t>
      </w:r>
      <w:r>
        <w:rPr>
          <w:rFonts w:hint="eastAsia" w:ascii="楷体_GB2312" w:eastAsia="楷体_GB2312"/>
          <w:sz w:val="24"/>
        </w:rPr>
        <w:t>．依法提供资产评估业务需要的资料并保证资料的真实性、完整性、合法性，依法使用资产评估报告是委托人和资产评估其他相关当事人的责任；</w:t>
      </w:r>
    </w:p>
    <w:p w14:paraId="7039406E">
      <w:pPr>
        <w:snapToGrid w:val="0"/>
        <w:spacing w:line="360" w:lineRule="auto"/>
        <w:ind w:firstLine="420"/>
        <w:rPr>
          <w:rFonts w:ascii="楷体_GB2312" w:eastAsia="楷体_GB2312"/>
          <w:sz w:val="24"/>
        </w:rPr>
      </w:pPr>
      <w:r>
        <w:rPr>
          <w:rFonts w:ascii="楷体_GB2312" w:eastAsia="楷体_GB2312"/>
          <w:sz w:val="24"/>
        </w:rPr>
        <w:t>3</w:t>
      </w:r>
      <w:r>
        <w:rPr>
          <w:rFonts w:hint="eastAsia" w:ascii="楷体_GB2312" w:eastAsia="楷体_GB2312"/>
          <w:sz w:val="24"/>
        </w:rPr>
        <w:t>．委托人和被评估单位应当及时提供资产评估业务需要的资料，包括但不限于资产评估明细表，以及经济行为文件、产权证明文件、历史财务信息、预测性财务信息、涉及评估对象和评估范围权利与义务的相关合同等其他重要资料，并以签字、盖章或者法律允许的其他方式确认其真实性、完整性和合法性；</w:t>
      </w:r>
    </w:p>
    <w:p w14:paraId="4A3DF140">
      <w:pPr>
        <w:snapToGrid w:val="0"/>
        <w:spacing w:line="360" w:lineRule="auto"/>
        <w:ind w:firstLine="420"/>
        <w:rPr>
          <w:rFonts w:ascii="楷体_GB2312" w:eastAsia="楷体_GB2312"/>
          <w:sz w:val="24"/>
        </w:rPr>
      </w:pPr>
      <w:r>
        <w:rPr>
          <w:rFonts w:ascii="楷体_GB2312" w:eastAsia="楷体_GB2312"/>
          <w:sz w:val="24"/>
        </w:rPr>
        <w:t>4</w:t>
      </w:r>
      <w:r>
        <w:rPr>
          <w:rFonts w:hint="eastAsia" w:ascii="楷体_GB2312" w:eastAsia="楷体_GB2312"/>
          <w:sz w:val="24"/>
        </w:rPr>
        <w:t>．甲方应当为乙方开展资产评估业务提供必要的工作条件和协助。甲方应当根据资产评估业务需要，负责乙方与其他相关当事人之间的协调，包括但不限于：清查盘点、资料提供、人员配合、现场核查、尽职访谈和答复问题等；</w:t>
      </w:r>
    </w:p>
    <w:p w14:paraId="10167D00">
      <w:pPr>
        <w:snapToGrid w:val="0"/>
        <w:spacing w:line="360" w:lineRule="auto"/>
        <w:ind w:firstLine="420"/>
        <w:rPr>
          <w:rFonts w:ascii="楷体_GB2312" w:eastAsia="楷体_GB2312"/>
          <w:sz w:val="24"/>
        </w:rPr>
      </w:pPr>
      <w:r>
        <w:rPr>
          <w:rFonts w:ascii="楷体_GB2312" w:eastAsia="楷体_GB2312"/>
          <w:sz w:val="24"/>
        </w:rPr>
        <w:t>5</w:t>
      </w:r>
      <w:r>
        <w:rPr>
          <w:rFonts w:hint="eastAsia" w:ascii="楷体_GB2312" w:eastAsia="楷体_GB2312"/>
          <w:sz w:val="24"/>
        </w:rPr>
        <w:t>．承担本次评估业务的相关费用，包括：</w:t>
      </w:r>
      <w:r>
        <w:rPr>
          <w:rFonts w:hint="eastAsia" w:ascii="楷体_GB2312" w:eastAsia="楷体_GB2312"/>
          <w:sz w:val="24"/>
          <w:u w:val="single"/>
        </w:rPr>
        <w:t xml:space="preserve">评估费 </w:t>
      </w:r>
      <w:r>
        <w:rPr>
          <w:rFonts w:hint="eastAsia" w:ascii="楷体_GB2312" w:eastAsia="楷体_GB2312"/>
          <w:sz w:val="24"/>
        </w:rPr>
        <w:t>；</w:t>
      </w:r>
    </w:p>
    <w:p w14:paraId="3D15920D">
      <w:pPr>
        <w:snapToGrid w:val="0"/>
        <w:spacing w:line="360" w:lineRule="auto"/>
        <w:ind w:firstLine="420"/>
        <w:rPr>
          <w:rFonts w:ascii="楷体_GB2312" w:eastAsia="楷体_GB2312"/>
          <w:sz w:val="24"/>
        </w:rPr>
      </w:pPr>
      <w:r>
        <w:rPr>
          <w:rFonts w:hint="eastAsia" w:ascii="楷体_GB2312" w:eastAsia="楷体_GB2312"/>
          <w:sz w:val="24"/>
        </w:rPr>
        <w:t>6．甲方按本合同有关条款及时足额支付评估服务费；因甲方原因造成评估业务中止时，甲方应按照乙方已完成的工作量支付相应的评估服务费；</w:t>
      </w:r>
    </w:p>
    <w:p w14:paraId="6A5CE650">
      <w:pPr>
        <w:snapToGrid w:val="0"/>
        <w:spacing w:line="360" w:lineRule="auto"/>
        <w:ind w:firstLine="420"/>
        <w:rPr>
          <w:rFonts w:ascii="楷体_GB2312" w:eastAsia="楷体_GB2312"/>
          <w:sz w:val="24"/>
        </w:rPr>
      </w:pPr>
      <w:r>
        <w:rPr>
          <w:rFonts w:hint="eastAsia" w:ascii="楷体_GB2312" w:eastAsia="楷体_GB2312"/>
          <w:sz w:val="24"/>
        </w:rPr>
        <w:t>7.甲方或者产权持有者应当对其提供的评估明细表及相关证明材料以签字、盖章的方式进行确认；</w:t>
      </w:r>
    </w:p>
    <w:p w14:paraId="0FC12173">
      <w:pPr>
        <w:snapToGrid w:val="0"/>
        <w:spacing w:line="360" w:lineRule="auto"/>
        <w:ind w:firstLine="420"/>
        <w:rPr>
          <w:rFonts w:ascii="楷体_GB2312" w:eastAsia="楷体_GB2312"/>
          <w:sz w:val="24"/>
        </w:rPr>
      </w:pPr>
      <w:r>
        <w:rPr>
          <w:rFonts w:hint="eastAsia" w:ascii="楷体_GB2312" w:eastAsia="楷体_GB2312"/>
          <w:sz w:val="24"/>
        </w:rPr>
        <w:t>8．在202</w:t>
      </w:r>
      <w:r>
        <w:rPr>
          <w:rFonts w:hint="eastAsia" w:ascii="楷体_GB2312" w:eastAsia="楷体_GB2312"/>
          <w:sz w:val="24"/>
          <w:lang w:val="en-US" w:eastAsia="zh-CN"/>
        </w:rPr>
        <w:t>6</w:t>
      </w:r>
      <w:r>
        <w:rPr>
          <w:rFonts w:hint="eastAsia" w:ascii="楷体_GB2312" w:eastAsia="楷体_GB2312"/>
          <w:sz w:val="24"/>
        </w:rPr>
        <w:t>年</w:t>
      </w:r>
      <w:r>
        <w:rPr>
          <w:rFonts w:hint="eastAsia" w:ascii="楷体_GB2312" w:eastAsia="楷体_GB2312"/>
          <w:sz w:val="24"/>
          <w:lang w:val="en-US" w:eastAsia="zh-CN"/>
        </w:rPr>
        <w:t>X</w:t>
      </w:r>
      <w:r>
        <w:rPr>
          <w:rFonts w:hint="eastAsia" w:ascii="楷体_GB2312" w:eastAsia="楷体_GB2312"/>
          <w:sz w:val="24"/>
        </w:rPr>
        <w:t>月</w:t>
      </w:r>
      <w:r>
        <w:rPr>
          <w:rFonts w:hint="eastAsia" w:ascii="楷体_GB2312" w:eastAsia="楷体_GB2312"/>
          <w:sz w:val="24"/>
          <w:lang w:val="en-US" w:eastAsia="zh-CN"/>
        </w:rPr>
        <w:t>X</w:t>
      </w:r>
      <w:r>
        <w:rPr>
          <w:rFonts w:hint="eastAsia" w:ascii="楷体_GB2312" w:eastAsia="楷体_GB2312"/>
          <w:sz w:val="24"/>
        </w:rPr>
        <w:t>日之前，提供评估所需的全部资料。</w:t>
      </w:r>
    </w:p>
    <w:p w14:paraId="6D70D0A0">
      <w:pPr>
        <w:snapToGrid w:val="0"/>
        <w:spacing w:line="360" w:lineRule="auto"/>
        <w:ind w:firstLine="420"/>
        <w:rPr>
          <w:rFonts w:ascii="楷体_GB2312" w:eastAsia="楷体_GB2312"/>
          <w:sz w:val="24"/>
        </w:rPr>
      </w:pPr>
      <w:r>
        <w:rPr>
          <w:rFonts w:hint="eastAsia" w:ascii="楷体_GB2312" w:eastAsia="楷体_GB2312"/>
          <w:sz w:val="24"/>
        </w:rPr>
        <w:t>乙方的权利：</w:t>
      </w:r>
    </w:p>
    <w:p w14:paraId="55928C81">
      <w:pPr>
        <w:snapToGrid w:val="0"/>
        <w:spacing w:line="360" w:lineRule="auto"/>
        <w:ind w:firstLine="420"/>
        <w:rPr>
          <w:rFonts w:ascii="楷体_GB2312" w:eastAsia="楷体_GB2312"/>
          <w:sz w:val="24"/>
        </w:rPr>
      </w:pPr>
      <w:r>
        <w:rPr>
          <w:rFonts w:ascii="楷体_GB2312" w:eastAsia="楷体_GB2312"/>
          <w:sz w:val="24"/>
        </w:rPr>
        <w:t>1</w:t>
      </w:r>
      <w:r>
        <w:rPr>
          <w:rFonts w:hint="eastAsia" w:ascii="楷体_GB2312" w:eastAsia="楷体_GB2312"/>
          <w:sz w:val="24"/>
        </w:rPr>
        <w:t>．乙方有权按照合同签订的收费总额，足额收取评估服务费；</w:t>
      </w:r>
    </w:p>
    <w:p w14:paraId="02D508D2">
      <w:pPr>
        <w:snapToGrid w:val="0"/>
        <w:spacing w:line="360" w:lineRule="auto"/>
        <w:ind w:firstLine="420"/>
        <w:rPr>
          <w:rFonts w:ascii="楷体_GB2312" w:eastAsia="楷体_GB2312"/>
          <w:sz w:val="24"/>
        </w:rPr>
      </w:pPr>
      <w:r>
        <w:rPr>
          <w:rFonts w:ascii="楷体_GB2312" w:eastAsia="楷体_GB2312"/>
          <w:sz w:val="24"/>
        </w:rPr>
        <w:t>2</w:t>
      </w:r>
      <w:r>
        <w:rPr>
          <w:rFonts w:hint="eastAsia" w:ascii="楷体_GB2312" w:eastAsia="楷体_GB2312"/>
          <w:sz w:val="24"/>
        </w:rPr>
        <w:t>．乙方有权拒绝甲方提出的干涉评估工作的不合理要求；</w:t>
      </w:r>
    </w:p>
    <w:p w14:paraId="5139BE80">
      <w:pPr>
        <w:snapToGrid w:val="0"/>
        <w:spacing w:line="360" w:lineRule="auto"/>
        <w:ind w:firstLine="420"/>
        <w:rPr>
          <w:rFonts w:ascii="楷体_GB2312" w:eastAsia="楷体_GB2312"/>
          <w:sz w:val="24"/>
          <w:szCs w:val="22"/>
        </w:rPr>
      </w:pPr>
      <w:r>
        <w:rPr>
          <w:rFonts w:ascii="楷体_GB2312" w:eastAsia="楷体_GB2312"/>
          <w:sz w:val="24"/>
        </w:rPr>
        <w:t>3</w:t>
      </w:r>
      <w:r>
        <w:rPr>
          <w:rFonts w:hint="eastAsia" w:ascii="楷体_GB2312" w:eastAsia="楷体_GB2312"/>
          <w:sz w:val="24"/>
        </w:rPr>
        <w:t>．</w:t>
      </w:r>
      <w:r>
        <w:rPr>
          <w:rFonts w:hint="eastAsia" w:ascii="楷体_GB2312" w:eastAsia="楷体_GB2312"/>
          <w:sz w:val="24"/>
          <w:szCs w:val="22"/>
        </w:rPr>
        <w:t>委托人如拒绝提供或者不如实提供执行评估业务所需的权属证明、财务会计信息和其他资料的，资产评估机构有权拒绝履行合同；</w:t>
      </w:r>
    </w:p>
    <w:p w14:paraId="4DD44B91">
      <w:pPr>
        <w:snapToGrid w:val="0"/>
        <w:spacing w:line="360" w:lineRule="auto"/>
        <w:ind w:firstLine="420"/>
        <w:rPr>
          <w:rFonts w:ascii="楷体_GB2312" w:eastAsia="楷体_GB2312"/>
          <w:sz w:val="24"/>
          <w:szCs w:val="22"/>
        </w:rPr>
      </w:pPr>
      <w:r>
        <w:rPr>
          <w:rFonts w:hint="eastAsia" w:ascii="楷体_GB2312" w:eastAsia="楷体_GB2312"/>
          <w:sz w:val="24"/>
          <w:szCs w:val="22"/>
        </w:rPr>
        <w:t>4．乙方对评估报告具有解释权。</w:t>
      </w:r>
    </w:p>
    <w:p w14:paraId="40D5349F">
      <w:pPr>
        <w:snapToGrid w:val="0"/>
        <w:spacing w:line="360" w:lineRule="auto"/>
        <w:ind w:firstLine="420"/>
        <w:rPr>
          <w:rFonts w:ascii="楷体_GB2312" w:eastAsia="楷体_GB2312"/>
          <w:sz w:val="24"/>
          <w:szCs w:val="22"/>
        </w:rPr>
      </w:pPr>
      <w:r>
        <w:rPr>
          <w:rFonts w:hint="eastAsia" w:ascii="楷体_GB2312" w:eastAsia="楷体_GB2312"/>
          <w:sz w:val="24"/>
          <w:szCs w:val="22"/>
        </w:rPr>
        <w:t>乙方的义务：</w:t>
      </w:r>
    </w:p>
    <w:p w14:paraId="2AB70BC0">
      <w:pPr>
        <w:snapToGrid w:val="0"/>
        <w:spacing w:line="360" w:lineRule="auto"/>
        <w:ind w:firstLine="420"/>
        <w:rPr>
          <w:rFonts w:ascii="楷体_GB2312" w:eastAsia="楷体_GB2312"/>
          <w:sz w:val="24"/>
        </w:rPr>
      </w:pPr>
      <w:r>
        <w:rPr>
          <w:rFonts w:hint="eastAsia" w:ascii="楷体_GB2312" w:eastAsia="楷体_GB2312"/>
          <w:sz w:val="24"/>
          <w:szCs w:val="22"/>
        </w:rPr>
        <w:t>1．遵守相关法律、法规和资</w:t>
      </w:r>
      <w:r>
        <w:rPr>
          <w:rFonts w:hint="eastAsia" w:ascii="楷体_GB2312" w:eastAsia="楷体_GB2312"/>
          <w:sz w:val="24"/>
        </w:rPr>
        <w:t>产评估准则，对评估对象在评估基准日特定目的下的价值进行分析、估算并出具评估报告；</w:t>
      </w:r>
    </w:p>
    <w:p w14:paraId="53E290C0">
      <w:pPr>
        <w:snapToGrid w:val="0"/>
        <w:spacing w:line="360" w:lineRule="auto"/>
        <w:ind w:firstLine="420"/>
        <w:rPr>
          <w:rFonts w:ascii="楷体_GB2312" w:eastAsia="楷体_GB2312"/>
          <w:sz w:val="24"/>
        </w:rPr>
      </w:pPr>
      <w:r>
        <w:rPr>
          <w:rFonts w:hint="eastAsia" w:ascii="楷体_GB2312" w:eastAsia="楷体_GB2312"/>
          <w:sz w:val="24"/>
        </w:rPr>
        <w:t>2．在甲方履行本合同规定义务的前提下，按照合同规定时间完成评估工作，在能够正常开展评估工作的前提下，按双方约定的时间出具资产评估报告；</w:t>
      </w:r>
    </w:p>
    <w:p w14:paraId="7FAE1712">
      <w:pPr>
        <w:snapToGrid w:val="0"/>
        <w:spacing w:line="360" w:lineRule="auto"/>
        <w:ind w:firstLine="420"/>
        <w:rPr>
          <w:rFonts w:ascii="楷体_GB2312" w:eastAsia="楷体_GB2312"/>
          <w:sz w:val="24"/>
        </w:rPr>
      </w:pPr>
      <w:r>
        <w:rPr>
          <w:rFonts w:hint="eastAsia" w:ascii="楷体_GB2312" w:eastAsia="楷体_GB2312"/>
          <w:sz w:val="24"/>
        </w:rPr>
        <w:t>3．对评估工作过程中知悉的甲方商业秘密严加保密。未经甲方同意，乙方不得将其知悉的商业秘密和甲方提供的资料对外泄露；</w:t>
      </w:r>
    </w:p>
    <w:p w14:paraId="1EEDCE3C">
      <w:pPr>
        <w:snapToGrid w:val="0"/>
        <w:spacing w:line="360" w:lineRule="auto"/>
        <w:ind w:firstLine="420"/>
        <w:rPr>
          <w:rFonts w:hint="eastAsia" w:ascii="楷体_GB2312" w:eastAsia="楷体_GB2312"/>
          <w:sz w:val="24"/>
        </w:rPr>
      </w:pPr>
      <w:r>
        <w:rPr>
          <w:rFonts w:hint="eastAsia" w:ascii="楷体_GB2312" w:eastAsia="楷体_GB2312"/>
          <w:sz w:val="24"/>
        </w:rPr>
        <w:t>4．乙方有向甲方就资产评估报告作出解释的义务，未经甲方书面许可，资产评估师和评估机构不得将评估报告的内容向第三方提供或者公开，法律、法规另有规定的除外。</w:t>
      </w:r>
    </w:p>
    <w:p w14:paraId="04E9DBB3">
      <w:pPr>
        <w:snapToGrid w:val="0"/>
        <w:spacing w:line="360" w:lineRule="auto"/>
        <w:ind w:firstLine="420"/>
        <w:rPr>
          <w:rFonts w:hint="eastAsia" w:ascii="楷体_GB2312" w:eastAsia="楷体_GB2312"/>
          <w:sz w:val="24"/>
        </w:rPr>
      </w:pPr>
      <w:r>
        <w:rPr>
          <w:rFonts w:hint="eastAsia" w:ascii="楷体_GB2312" w:eastAsia="楷体_GB2312"/>
          <w:sz w:val="24"/>
        </w:rPr>
        <w:t>5. 乙方应当根据评估对象特点、价值类型及资料收集情况，合理选择评估方法。</w:t>
      </w:r>
    </w:p>
    <w:p w14:paraId="34B6A2D0">
      <w:pPr>
        <w:snapToGrid w:val="0"/>
        <w:spacing w:line="360" w:lineRule="auto"/>
        <w:ind w:firstLine="420"/>
        <w:rPr>
          <w:rFonts w:hint="eastAsia" w:ascii="楷体_GB2312" w:eastAsia="楷体_GB2312"/>
          <w:sz w:val="24"/>
        </w:rPr>
      </w:pPr>
      <w:r>
        <w:rPr>
          <w:rFonts w:hint="eastAsia" w:ascii="楷体_GB2312" w:eastAsia="楷体_GB2312"/>
          <w:sz w:val="24"/>
        </w:rPr>
        <w:t>6. 乙方应当指派至少两名符合《资产评估法》规定的资产评估师承办本项目，并在评估报告中签字盖章。乙方不得擅自更换签字资产评估师；确需更换的，应当事先征得甲方书面同意。</w:t>
      </w:r>
    </w:p>
    <w:p w14:paraId="22DA3CAF">
      <w:pPr>
        <w:snapToGrid w:val="0"/>
        <w:spacing w:line="360" w:lineRule="auto"/>
        <w:ind w:firstLine="420"/>
        <w:rPr>
          <w:rFonts w:ascii="楷体_GB2312" w:eastAsia="楷体_GB2312"/>
          <w:b/>
          <w:sz w:val="24"/>
        </w:rPr>
      </w:pPr>
      <w:r>
        <w:rPr>
          <w:rFonts w:hint="eastAsia" w:ascii="楷体_GB2312" w:eastAsia="楷体_GB2312"/>
          <w:b/>
          <w:sz w:val="24"/>
        </w:rPr>
        <w:t>八、资产评估报告的使用责任</w:t>
      </w:r>
    </w:p>
    <w:p w14:paraId="63379E96">
      <w:pPr>
        <w:snapToGrid w:val="0"/>
        <w:spacing w:line="360" w:lineRule="auto"/>
        <w:ind w:firstLine="420"/>
        <w:rPr>
          <w:rFonts w:ascii="楷体_GB2312" w:eastAsia="楷体_GB2312"/>
          <w:sz w:val="24"/>
        </w:rPr>
      </w:pPr>
      <w:r>
        <w:rPr>
          <w:rFonts w:hint="eastAsia" w:ascii="楷体_GB2312" w:eastAsia="楷体_GB2312"/>
          <w:sz w:val="24"/>
        </w:rPr>
        <w:t>1．乙方向甲方出具的资产评估报告一式</w:t>
      </w:r>
      <w:r>
        <w:rPr>
          <w:rFonts w:hint="eastAsia" w:ascii="楷体_GB2312" w:eastAsia="楷体_GB2312"/>
          <w:sz w:val="24"/>
          <w:u w:val="single"/>
        </w:rPr>
        <w:t xml:space="preserve"> </w:t>
      </w:r>
      <w:r>
        <w:rPr>
          <w:rFonts w:hint="eastAsia" w:ascii="楷体_GB2312" w:eastAsia="楷体_GB2312"/>
          <w:sz w:val="24"/>
          <w:u w:val="single"/>
          <w:lang w:val="en-US" w:eastAsia="zh-CN"/>
        </w:rPr>
        <w:t>四</w:t>
      </w:r>
      <w:r>
        <w:rPr>
          <w:rFonts w:hint="eastAsia" w:ascii="楷体_GB2312" w:eastAsia="楷体_GB2312"/>
          <w:sz w:val="24"/>
          <w:u w:val="single"/>
        </w:rPr>
        <w:t xml:space="preserve"> </w:t>
      </w:r>
      <w:r>
        <w:rPr>
          <w:rFonts w:hint="eastAsia" w:ascii="楷体_GB2312" w:eastAsia="楷体_GB2312"/>
          <w:sz w:val="24"/>
        </w:rPr>
        <w:t>份。</w:t>
      </w:r>
    </w:p>
    <w:p w14:paraId="1942539B">
      <w:pPr>
        <w:snapToGrid w:val="0"/>
        <w:spacing w:line="360" w:lineRule="auto"/>
        <w:ind w:firstLine="420"/>
        <w:rPr>
          <w:rFonts w:ascii="楷体_GB2312" w:eastAsia="楷体_GB2312"/>
          <w:sz w:val="24"/>
        </w:rPr>
      </w:pPr>
      <w:r>
        <w:rPr>
          <w:rFonts w:hint="eastAsia" w:ascii="楷体_GB2312" w:eastAsia="楷体_GB2312"/>
          <w:sz w:val="24"/>
        </w:rPr>
        <w:t>2．评估报告仅供甲方和本合同约定的其他评估报告使用者使用，法律、法规另有规定的除外。甲方应合理理解并恰当使用评估报告，资产评估师和评估机构对甲方和其他评估报告使用者不当使用评估报告所造成的后果不承担责任。</w:t>
      </w:r>
    </w:p>
    <w:p w14:paraId="5075CB9B">
      <w:pPr>
        <w:snapToGrid w:val="0"/>
        <w:spacing w:line="360" w:lineRule="auto"/>
        <w:ind w:firstLine="420"/>
        <w:rPr>
          <w:rFonts w:ascii="楷体_GB2312" w:eastAsia="楷体_GB2312"/>
          <w:sz w:val="24"/>
        </w:rPr>
      </w:pPr>
      <w:r>
        <w:rPr>
          <w:rFonts w:hint="eastAsia" w:ascii="楷体_GB2312" w:eastAsia="楷体_GB2312"/>
          <w:sz w:val="24"/>
        </w:rPr>
        <w:t>3． 未征得评估机构同意，评估报告的内容不得被摘抄、引用或者披露于公开媒体，法律、法规规定以及相关当事方另有约定的除外。</w:t>
      </w:r>
    </w:p>
    <w:p w14:paraId="35043246">
      <w:pPr>
        <w:snapToGrid w:val="0"/>
        <w:spacing w:line="360" w:lineRule="auto"/>
        <w:ind w:firstLine="420"/>
        <w:rPr>
          <w:rFonts w:ascii="楷体_GB2312" w:eastAsia="楷体_GB2312"/>
          <w:b/>
          <w:sz w:val="24"/>
        </w:rPr>
      </w:pPr>
      <w:r>
        <w:rPr>
          <w:rFonts w:hint="eastAsia" w:ascii="楷体_GB2312" w:eastAsia="楷体_GB2312"/>
          <w:b/>
          <w:sz w:val="24"/>
        </w:rPr>
        <w:t>九、约定的有效期间</w:t>
      </w:r>
    </w:p>
    <w:p w14:paraId="35B549B6">
      <w:pPr>
        <w:snapToGrid w:val="0"/>
        <w:spacing w:line="360" w:lineRule="auto"/>
        <w:ind w:firstLine="420"/>
        <w:rPr>
          <w:rFonts w:ascii="楷体_GB2312" w:eastAsia="楷体_GB2312"/>
          <w:sz w:val="24"/>
        </w:rPr>
      </w:pPr>
      <w:r>
        <w:rPr>
          <w:rFonts w:hint="eastAsia" w:ascii="楷体_GB2312" w:eastAsia="楷体_GB2312"/>
          <w:sz w:val="24"/>
        </w:rPr>
        <w:t>本合同一式</w:t>
      </w:r>
      <w:r>
        <w:rPr>
          <w:rFonts w:hint="eastAsia" w:ascii="楷体_GB2312" w:eastAsia="楷体_GB2312"/>
          <w:b/>
          <w:sz w:val="24"/>
        </w:rPr>
        <w:t>肆</w:t>
      </w:r>
      <w:r>
        <w:rPr>
          <w:rFonts w:hint="eastAsia" w:ascii="楷体_GB2312" w:eastAsia="楷体_GB2312"/>
          <w:sz w:val="24"/>
        </w:rPr>
        <w:t>份，甲乙双方各执</w:t>
      </w:r>
      <w:r>
        <w:rPr>
          <w:rFonts w:hint="eastAsia" w:ascii="楷体_GB2312" w:eastAsia="楷体_GB2312"/>
          <w:b/>
          <w:sz w:val="24"/>
        </w:rPr>
        <w:t>贰</w:t>
      </w:r>
      <w:r>
        <w:rPr>
          <w:rFonts w:hint="eastAsia" w:ascii="楷体_GB2312" w:eastAsia="楷体_GB2312"/>
          <w:sz w:val="24"/>
        </w:rPr>
        <w:t>份，并具有同等法律效力。</w:t>
      </w:r>
    </w:p>
    <w:p w14:paraId="565A478A">
      <w:pPr>
        <w:snapToGrid w:val="0"/>
        <w:spacing w:line="360" w:lineRule="auto"/>
        <w:ind w:firstLine="420"/>
        <w:rPr>
          <w:rFonts w:ascii="楷体_GB2312" w:eastAsia="楷体_GB2312"/>
          <w:sz w:val="24"/>
        </w:rPr>
      </w:pPr>
      <w:r>
        <w:rPr>
          <w:rFonts w:hint="eastAsia" w:ascii="楷体_GB2312" w:eastAsia="楷体_GB2312"/>
          <w:sz w:val="24"/>
        </w:rPr>
        <w:t>本约定自签订之日起生效，并在报告有效期内，约定项目全部完成日之前有效，但双方约定的保密条款，并不因本合同终止而失效。</w:t>
      </w:r>
    </w:p>
    <w:p w14:paraId="0AF5FA4B">
      <w:pPr>
        <w:snapToGrid w:val="0"/>
        <w:spacing w:line="360" w:lineRule="auto"/>
        <w:ind w:firstLine="420"/>
        <w:rPr>
          <w:rFonts w:ascii="楷体_GB2312" w:eastAsia="楷体_GB2312"/>
          <w:b/>
          <w:sz w:val="24"/>
        </w:rPr>
      </w:pPr>
      <w:r>
        <w:rPr>
          <w:rFonts w:hint="eastAsia" w:ascii="楷体_GB2312" w:eastAsia="楷体_GB2312"/>
          <w:b/>
          <w:sz w:val="24"/>
        </w:rPr>
        <w:t>十、变更或终止约定</w:t>
      </w:r>
    </w:p>
    <w:p w14:paraId="42303136">
      <w:pPr>
        <w:snapToGrid w:val="0"/>
        <w:spacing w:line="360" w:lineRule="auto"/>
        <w:ind w:firstLine="420"/>
        <w:rPr>
          <w:rFonts w:ascii="楷体_GB2312" w:eastAsia="楷体_GB2312"/>
          <w:sz w:val="24"/>
        </w:rPr>
      </w:pPr>
      <w:r>
        <w:rPr>
          <w:rFonts w:hint="eastAsia" w:ascii="楷体_GB2312" w:eastAsia="楷体_GB2312"/>
          <w:sz w:val="24"/>
        </w:rPr>
        <w:t>1．评估委托合同签订后，如果签约双方发现相关事项约定不明确，或者履行评估程序受到限制需要增加、调整约定事项的，可以通过协商及时对合同相关条款进行变更，并签订补充协议或者重新签订评估委托合同。</w:t>
      </w:r>
    </w:p>
    <w:p w14:paraId="3C90E8A7">
      <w:pPr>
        <w:snapToGrid w:val="0"/>
        <w:spacing w:line="360" w:lineRule="auto"/>
        <w:ind w:firstLine="420"/>
        <w:rPr>
          <w:rFonts w:ascii="楷体_GB2312" w:eastAsia="楷体_GB2312"/>
          <w:sz w:val="24"/>
        </w:rPr>
      </w:pPr>
      <w:r>
        <w:rPr>
          <w:rFonts w:hint="eastAsia" w:ascii="楷体_GB2312" w:eastAsia="楷体_GB2312"/>
          <w:sz w:val="24"/>
        </w:rPr>
        <w:t>2．评估委托合同签订后，评估目的、评估对象、评估基准日发生变化，或者评估范围发生重大变化，经过协商，甲乙双方可以签订补充协议或者重新签订评估委托合同。</w:t>
      </w:r>
    </w:p>
    <w:p w14:paraId="553ECA89">
      <w:pPr>
        <w:snapToGrid w:val="0"/>
        <w:spacing w:line="360" w:lineRule="auto"/>
        <w:ind w:firstLine="420"/>
        <w:rPr>
          <w:rFonts w:ascii="楷体_GB2312" w:eastAsia="楷体_GB2312"/>
          <w:sz w:val="24"/>
        </w:rPr>
      </w:pPr>
      <w:r>
        <w:rPr>
          <w:rFonts w:hint="eastAsia" w:ascii="楷体_GB2312" w:eastAsia="楷体_GB2312"/>
          <w:sz w:val="24"/>
        </w:rPr>
        <w:t>3．在客观条件发生变化时，双方可经协商变更本合同内容；由于不具备评估条件或出现不可预见的情况，影响评估工作如期完成，或需提前出具资产评估报告，甲乙双方可要求变更约定事项，或终止本约定的履行，但应及时通知对方，并由双方协商解决。</w:t>
      </w:r>
    </w:p>
    <w:p w14:paraId="59CC52A4">
      <w:pPr>
        <w:pStyle w:val="2"/>
        <w:snapToGrid w:val="0"/>
        <w:spacing w:line="360" w:lineRule="auto"/>
        <w:ind w:firstLine="480" w:firstLineChars="200"/>
        <w:jc w:val="both"/>
        <w:rPr>
          <w:rFonts w:ascii="楷体_GB2312" w:eastAsia="楷体_GB2312"/>
          <w:sz w:val="24"/>
          <w:szCs w:val="20"/>
        </w:rPr>
      </w:pPr>
      <w:r>
        <w:rPr>
          <w:rFonts w:hint="eastAsia" w:ascii="楷体_GB2312" w:eastAsia="楷体_GB2312"/>
          <w:sz w:val="24"/>
          <w:szCs w:val="20"/>
        </w:rPr>
        <w:t>4．因委托人或相关当事人原因导致评估程序受限对与评估目的相对应的评估结论构成重大影响时，经双方协商，可以中止履行本合同；相关限制无法排除时，经双方协商，可以解除本合同。合同解除后，评估服务费收取或者退回的金额，</w:t>
      </w:r>
      <w:r>
        <w:rPr>
          <w:rFonts w:hint="eastAsia" w:ascii="楷体_GB2312" w:eastAsia="楷体_GB2312"/>
          <w:sz w:val="24"/>
        </w:rPr>
        <w:t>应参照乙方已完成的工作量</w:t>
      </w:r>
      <w:r>
        <w:rPr>
          <w:rFonts w:hint="eastAsia" w:ascii="楷体_GB2312" w:eastAsia="楷体_GB2312"/>
          <w:sz w:val="24"/>
          <w:szCs w:val="20"/>
        </w:rPr>
        <w:t>由双方协商解决。</w:t>
      </w:r>
    </w:p>
    <w:p w14:paraId="56F7A49F">
      <w:pPr>
        <w:snapToGrid w:val="0"/>
        <w:spacing w:line="360" w:lineRule="auto"/>
        <w:ind w:firstLine="420"/>
        <w:rPr>
          <w:rFonts w:ascii="楷体_GB2312" w:eastAsia="楷体_GB2312"/>
          <w:b/>
          <w:sz w:val="24"/>
        </w:rPr>
      </w:pPr>
      <w:r>
        <w:rPr>
          <w:rFonts w:hint="eastAsia" w:ascii="楷体_GB2312" w:eastAsia="楷体_GB2312"/>
          <w:b/>
          <w:sz w:val="24"/>
        </w:rPr>
        <w:t>十一、违约责任</w:t>
      </w:r>
    </w:p>
    <w:p w14:paraId="4E4F5FB9">
      <w:pPr>
        <w:snapToGrid w:val="0"/>
        <w:spacing w:line="360" w:lineRule="auto"/>
        <w:ind w:firstLine="420"/>
        <w:rPr>
          <w:rFonts w:ascii="楷体_GB2312" w:eastAsia="楷体_GB2312"/>
          <w:sz w:val="24"/>
        </w:rPr>
      </w:pPr>
      <w:r>
        <w:rPr>
          <w:rFonts w:hint="eastAsia" w:ascii="楷体_GB2312" w:eastAsia="楷体_GB2312"/>
          <w:sz w:val="24"/>
        </w:rPr>
        <w:t>1．由于甲方原因终止本约定，预收款全部抵偿乙方的损失，如报告已出具，应收取剩余的评估费用；由于乙方原因终止本约定，承担全部评估费</w:t>
      </w:r>
      <w:r>
        <w:rPr>
          <w:rFonts w:ascii="楷体_GB2312" w:eastAsia="楷体_GB2312"/>
          <w:sz w:val="24"/>
        </w:rPr>
        <w:t>20%</w:t>
      </w:r>
      <w:r>
        <w:rPr>
          <w:rFonts w:hint="eastAsia" w:ascii="楷体_GB2312" w:eastAsia="楷体_GB2312"/>
          <w:sz w:val="24"/>
        </w:rPr>
        <w:t>的违约金。</w:t>
      </w:r>
    </w:p>
    <w:p w14:paraId="3701D3C0">
      <w:pPr>
        <w:snapToGrid w:val="0"/>
        <w:spacing w:line="360" w:lineRule="auto"/>
        <w:ind w:firstLine="420"/>
        <w:rPr>
          <w:rFonts w:ascii="楷体_GB2312" w:eastAsia="楷体_GB2312"/>
          <w:sz w:val="24"/>
        </w:rPr>
      </w:pPr>
      <w:r>
        <w:rPr>
          <w:rFonts w:hint="eastAsia" w:ascii="楷体_GB2312" w:eastAsia="楷体_GB2312"/>
          <w:sz w:val="24"/>
        </w:rPr>
        <w:t>2．签约双方因不可抗力无法履行合同的，根据不可抗力的影响，部分或者全部免除责任，法律另有规定的除外。</w:t>
      </w:r>
    </w:p>
    <w:p w14:paraId="66CF5753">
      <w:pPr>
        <w:snapToGrid w:val="0"/>
        <w:spacing w:line="360" w:lineRule="auto"/>
        <w:ind w:firstLine="420"/>
        <w:rPr>
          <w:rFonts w:ascii="楷体_GB2312" w:eastAsia="楷体_GB2312"/>
          <w:b/>
          <w:sz w:val="24"/>
        </w:rPr>
      </w:pPr>
      <w:r>
        <w:rPr>
          <w:rFonts w:hint="eastAsia" w:ascii="楷体_GB2312" w:eastAsia="楷体_GB2312"/>
          <w:b/>
          <w:sz w:val="24"/>
        </w:rPr>
        <w:t>十二、争议解决</w:t>
      </w:r>
    </w:p>
    <w:p w14:paraId="6690254A">
      <w:pPr>
        <w:snapToGrid w:val="0"/>
        <w:spacing w:line="360" w:lineRule="auto"/>
        <w:ind w:firstLine="420"/>
        <w:rPr>
          <w:rFonts w:ascii="楷体_GB2312" w:eastAsia="楷体_GB2312"/>
          <w:sz w:val="24"/>
        </w:rPr>
      </w:pPr>
      <w:r>
        <w:rPr>
          <w:rFonts w:hint="eastAsia" w:ascii="楷体_GB2312" w:eastAsia="楷体_GB2312"/>
          <w:sz w:val="24"/>
        </w:rPr>
        <w:t>在本合同履行过程中产生争议时，双方应按照《中华人民共和国民法典》的规定确定争议解决的方式，提交</w:t>
      </w:r>
      <w:r>
        <w:rPr>
          <w:rFonts w:hint="eastAsia" w:ascii="楷体_GB2312" w:eastAsia="楷体_GB2312"/>
          <w:sz w:val="24"/>
          <w:lang w:val="en-US" w:eastAsia="zh-CN"/>
        </w:rPr>
        <w:t>需评估资产所在</w:t>
      </w:r>
      <w:r>
        <w:rPr>
          <w:rFonts w:hint="eastAsia" w:ascii="楷体_GB2312" w:eastAsia="楷体_GB2312"/>
          <w:sz w:val="24"/>
        </w:rPr>
        <w:t>地法院解决。</w:t>
      </w:r>
    </w:p>
    <w:p w14:paraId="670D33E5">
      <w:pPr>
        <w:snapToGrid w:val="0"/>
        <w:spacing w:line="360" w:lineRule="auto"/>
        <w:ind w:firstLine="420"/>
        <w:rPr>
          <w:rFonts w:ascii="楷体_GB2312" w:eastAsia="楷体_GB2312"/>
          <w:b/>
          <w:sz w:val="24"/>
        </w:rPr>
      </w:pPr>
      <w:r>
        <w:rPr>
          <w:rFonts w:hint="eastAsia" w:ascii="楷体_GB2312" w:eastAsia="楷体_GB2312"/>
          <w:b/>
          <w:sz w:val="24"/>
        </w:rPr>
        <w:t>十三、甲乙双方对其他有关事项的约定</w:t>
      </w:r>
    </w:p>
    <w:p w14:paraId="2ED91B49">
      <w:pPr>
        <w:snapToGrid w:val="0"/>
        <w:spacing w:line="360" w:lineRule="auto"/>
        <w:ind w:firstLine="420"/>
        <w:rPr>
          <w:rFonts w:ascii="楷体_GB2312" w:eastAsia="楷体_GB2312"/>
          <w:sz w:val="24"/>
        </w:rPr>
      </w:pPr>
      <w:r>
        <w:rPr>
          <w:rFonts w:hint="eastAsia" w:ascii="楷体_GB2312" w:eastAsia="楷体_GB2312"/>
          <w:sz w:val="24"/>
        </w:rPr>
        <w:t>无。</w:t>
      </w:r>
    </w:p>
    <w:p w14:paraId="4B3F04EA">
      <w:pPr>
        <w:snapToGrid w:val="0"/>
        <w:spacing w:line="360" w:lineRule="auto"/>
        <w:ind w:firstLine="420"/>
        <w:rPr>
          <w:rFonts w:hint="eastAsia" w:ascii="楷体_GB2312" w:eastAsia="楷体_GB2312"/>
          <w:sz w:val="24"/>
          <w:lang w:eastAsia="zh-CN"/>
        </w:rPr>
      </w:pPr>
      <w:r>
        <w:rPr>
          <w:rFonts w:hint="eastAsia" w:ascii="楷体_GB2312" w:eastAsia="楷体_GB2312"/>
          <w:sz w:val="24"/>
          <w:lang w:eastAsia="zh-CN"/>
        </w:rPr>
        <w:t>（</w:t>
      </w:r>
      <w:r>
        <w:rPr>
          <w:rFonts w:hint="eastAsia" w:ascii="楷体_GB2312" w:eastAsia="楷体_GB2312"/>
          <w:sz w:val="24"/>
          <w:lang w:val="en-US" w:eastAsia="zh-CN"/>
        </w:rPr>
        <w:t>本页以下无正文</w:t>
      </w:r>
      <w:r>
        <w:rPr>
          <w:rFonts w:hint="eastAsia" w:ascii="楷体_GB2312" w:eastAsia="楷体_GB2312"/>
          <w:sz w:val="24"/>
          <w:lang w:eastAsia="zh-CN"/>
        </w:rPr>
        <w:t>）</w:t>
      </w:r>
    </w:p>
    <w:p w14:paraId="145E18EF">
      <w:pPr>
        <w:snapToGrid w:val="0"/>
        <w:spacing w:line="360" w:lineRule="auto"/>
        <w:ind w:firstLine="420"/>
        <w:rPr>
          <w:rFonts w:ascii="楷体_GB2312" w:eastAsia="楷体_GB2312"/>
          <w:sz w:val="24"/>
        </w:rPr>
      </w:pPr>
    </w:p>
    <w:p w14:paraId="0A6CFD0B">
      <w:pPr>
        <w:snapToGrid w:val="0"/>
        <w:spacing w:line="360" w:lineRule="auto"/>
        <w:ind w:firstLine="420"/>
        <w:rPr>
          <w:rFonts w:ascii="楷体_GB2312" w:eastAsia="楷体_GB2312"/>
          <w:sz w:val="24"/>
        </w:rPr>
      </w:pPr>
    </w:p>
    <w:p w14:paraId="63A34B59">
      <w:pPr>
        <w:snapToGrid w:val="0"/>
        <w:spacing w:line="360" w:lineRule="auto"/>
        <w:ind w:firstLine="420"/>
        <w:rPr>
          <w:rFonts w:ascii="楷体_GB2312" w:eastAsia="楷体_GB2312"/>
          <w:sz w:val="24"/>
        </w:rPr>
      </w:pPr>
    </w:p>
    <w:p w14:paraId="4DEE1FB3">
      <w:pPr>
        <w:snapToGrid w:val="0"/>
        <w:spacing w:line="360" w:lineRule="auto"/>
        <w:ind w:firstLine="420"/>
        <w:rPr>
          <w:rFonts w:ascii="楷体_GB2312" w:eastAsia="楷体_GB2312"/>
          <w:sz w:val="24"/>
        </w:rPr>
      </w:pPr>
    </w:p>
    <w:p w14:paraId="74330D80">
      <w:pPr>
        <w:snapToGrid w:val="0"/>
        <w:spacing w:line="360" w:lineRule="auto"/>
        <w:ind w:firstLine="420"/>
        <w:rPr>
          <w:rFonts w:ascii="楷体_GB2312" w:eastAsia="楷体_GB2312"/>
          <w:sz w:val="24"/>
        </w:rPr>
      </w:pPr>
    </w:p>
    <w:p w14:paraId="357C1915">
      <w:pPr>
        <w:snapToGrid w:val="0"/>
        <w:spacing w:line="360" w:lineRule="auto"/>
        <w:ind w:firstLine="420"/>
        <w:rPr>
          <w:rFonts w:ascii="楷体_GB2312" w:eastAsia="楷体_GB2312"/>
          <w:sz w:val="24"/>
        </w:rPr>
      </w:pPr>
    </w:p>
    <w:p w14:paraId="0DD7EBAB">
      <w:pPr>
        <w:snapToGrid w:val="0"/>
        <w:spacing w:line="360" w:lineRule="auto"/>
        <w:ind w:firstLine="420"/>
        <w:rPr>
          <w:rFonts w:ascii="楷体_GB2312" w:eastAsia="楷体_GB2312"/>
          <w:sz w:val="24"/>
        </w:rPr>
      </w:pPr>
    </w:p>
    <w:p w14:paraId="47744397">
      <w:pPr>
        <w:snapToGrid w:val="0"/>
        <w:spacing w:line="360" w:lineRule="auto"/>
        <w:ind w:firstLine="420"/>
        <w:rPr>
          <w:rFonts w:ascii="楷体_GB2312" w:eastAsia="楷体_GB2312"/>
          <w:sz w:val="24"/>
        </w:rPr>
      </w:pPr>
    </w:p>
    <w:p w14:paraId="1EA9E819">
      <w:pPr>
        <w:snapToGrid w:val="0"/>
        <w:spacing w:line="360" w:lineRule="auto"/>
        <w:ind w:firstLine="420"/>
        <w:rPr>
          <w:rFonts w:ascii="楷体_GB2312" w:eastAsia="楷体_GB2312"/>
          <w:sz w:val="24"/>
        </w:rPr>
      </w:pPr>
    </w:p>
    <w:p w14:paraId="34520DA9">
      <w:pPr>
        <w:snapToGrid w:val="0"/>
        <w:spacing w:line="360" w:lineRule="auto"/>
        <w:ind w:firstLine="420"/>
        <w:rPr>
          <w:rFonts w:ascii="楷体_GB2312" w:eastAsia="楷体_GB2312"/>
          <w:sz w:val="24"/>
        </w:rPr>
      </w:pPr>
    </w:p>
    <w:p w14:paraId="7AEFDFA9">
      <w:pPr>
        <w:snapToGrid w:val="0"/>
        <w:spacing w:line="360" w:lineRule="auto"/>
        <w:ind w:firstLine="420"/>
        <w:rPr>
          <w:rFonts w:ascii="楷体_GB2312" w:eastAsia="楷体_GB2312"/>
          <w:sz w:val="24"/>
        </w:rPr>
      </w:pPr>
    </w:p>
    <w:p w14:paraId="1EFAD7A9">
      <w:pPr>
        <w:snapToGrid w:val="0"/>
        <w:spacing w:line="360" w:lineRule="auto"/>
        <w:ind w:firstLine="420"/>
        <w:rPr>
          <w:rFonts w:ascii="楷体_GB2312" w:eastAsia="楷体_GB2312"/>
          <w:sz w:val="24"/>
        </w:rPr>
      </w:pPr>
    </w:p>
    <w:p w14:paraId="784AAC2E">
      <w:pPr>
        <w:snapToGrid w:val="0"/>
        <w:spacing w:line="360" w:lineRule="auto"/>
        <w:ind w:firstLine="420"/>
        <w:rPr>
          <w:rFonts w:ascii="楷体_GB2312" w:eastAsia="楷体_GB2312"/>
          <w:sz w:val="24"/>
        </w:rPr>
      </w:pPr>
    </w:p>
    <w:p w14:paraId="2ABB8BD6">
      <w:pPr>
        <w:snapToGrid w:val="0"/>
        <w:spacing w:line="360" w:lineRule="auto"/>
        <w:ind w:firstLine="420"/>
        <w:rPr>
          <w:rFonts w:ascii="楷体_GB2312" w:eastAsia="楷体_GB2312"/>
          <w:sz w:val="24"/>
        </w:rPr>
      </w:pPr>
    </w:p>
    <w:p w14:paraId="58913335">
      <w:pPr>
        <w:snapToGrid w:val="0"/>
        <w:spacing w:line="360" w:lineRule="auto"/>
        <w:ind w:firstLine="420"/>
        <w:rPr>
          <w:rFonts w:ascii="楷体_GB2312" w:eastAsia="楷体_GB2312"/>
          <w:sz w:val="24"/>
        </w:rPr>
      </w:pPr>
    </w:p>
    <w:p w14:paraId="277D37A7">
      <w:pPr>
        <w:snapToGrid w:val="0"/>
        <w:spacing w:line="360" w:lineRule="auto"/>
        <w:ind w:firstLine="420"/>
        <w:rPr>
          <w:rFonts w:ascii="楷体_GB2312" w:eastAsia="楷体_GB2312"/>
          <w:sz w:val="24"/>
        </w:rPr>
      </w:pPr>
    </w:p>
    <w:p w14:paraId="70A376B6">
      <w:pPr>
        <w:snapToGrid w:val="0"/>
        <w:spacing w:line="360" w:lineRule="auto"/>
        <w:ind w:firstLine="420"/>
        <w:rPr>
          <w:rFonts w:hint="eastAsia" w:ascii="楷体_GB2312" w:eastAsia="楷体_GB2312"/>
          <w:sz w:val="24"/>
          <w:lang w:eastAsia="zh-CN"/>
        </w:rPr>
      </w:pPr>
      <w:r>
        <w:rPr>
          <w:rFonts w:hint="eastAsia" w:ascii="楷体_GB2312" w:eastAsia="楷体_GB2312"/>
          <w:sz w:val="24"/>
          <w:lang w:eastAsia="zh-CN"/>
        </w:rPr>
        <w:t>（</w:t>
      </w:r>
      <w:r>
        <w:rPr>
          <w:rFonts w:hint="eastAsia" w:ascii="楷体_GB2312" w:eastAsia="楷体_GB2312"/>
          <w:sz w:val="24"/>
          <w:lang w:val="en-US" w:eastAsia="zh-CN"/>
        </w:rPr>
        <w:t>本页无正文，为签字盖章页</w:t>
      </w:r>
      <w:r>
        <w:rPr>
          <w:rFonts w:hint="eastAsia" w:ascii="楷体_GB2312" w:eastAsia="楷体_GB2312"/>
          <w:sz w:val="24"/>
          <w:lang w:eastAsia="zh-CN"/>
        </w:rPr>
        <w:t>）</w:t>
      </w:r>
    </w:p>
    <w:p w14:paraId="4D072A84">
      <w:pPr>
        <w:snapToGrid w:val="0"/>
        <w:spacing w:line="360" w:lineRule="auto"/>
        <w:ind w:firstLine="420"/>
        <w:rPr>
          <w:rFonts w:hint="eastAsia" w:ascii="楷体_GB2312" w:eastAsia="楷体_GB2312"/>
          <w:b/>
          <w:sz w:val="24"/>
        </w:rPr>
      </w:pPr>
    </w:p>
    <w:p w14:paraId="5687A591">
      <w:pPr>
        <w:snapToGrid w:val="0"/>
        <w:spacing w:line="360" w:lineRule="auto"/>
        <w:ind w:firstLine="420"/>
        <w:rPr>
          <w:rFonts w:hint="eastAsia" w:ascii="楷体_GB2312" w:eastAsia="楷体_GB2312"/>
          <w:b/>
          <w:sz w:val="24"/>
        </w:rPr>
      </w:pPr>
    </w:p>
    <w:p w14:paraId="17C55CD5">
      <w:pPr>
        <w:snapToGrid w:val="0"/>
        <w:spacing w:line="360" w:lineRule="auto"/>
        <w:ind w:firstLine="420"/>
        <w:rPr>
          <w:rFonts w:hint="eastAsia" w:ascii="楷体_GB2312" w:eastAsia="楷体_GB2312"/>
          <w:b/>
          <w:sz w:val="24"/>
          <w:lang w:eastAsia="zh-CN"/>
        </w:rPr>
      </w:pPr>
      <w:r>
        <w:rPr>
          <w:rFonts w:hint="eastAsia" w:ascii="楷体_GB2312" w:eastAsia="楷体_GB2312"/>
          <w:b/>
          <w:sz w:val="24"/>
        </w:rPr>
        <w:t>甲方（签章）：</w:t>
      </w:r>
      <w:r>
        <w:rPr>
          <w:rFonts w:hint="eastAsia" w:ascii="楷体_GB2312" w:eastAsia="楷体_GB2312"/>
          <w:b/>
          <w:sz w:val="24"/>
          <w:lang w:eastAsia="zh-CN"/>
        </w:rPr>
        <w:t>XX公司</w:t>
      </w:r>
    </w:p>
    <w:p w14:paraId="24D49F5C">
      <w:pPr>
        <w:snapToGrid w:val="0"/>
        <w:spacing w:line="360" w:lineRule="auto"/>
        <w:ind w:firstLine="420"/>
        <w:rPr>
          <w:rFonts w:ascii="楷体_GB2312" w:eastAsia="楷体_GB2312"/>
          <w:b/>
          <w:sz w:val="24"/>
        </w:rPr>
      </w:pPr>
    </w:p>
    <w:p w14:paraId="39B93856">
      <w:pPr>
        <w:snapToGrid w:val="0"/>
        <w:spacing w:line="360" w:lineRule="auto"/>
        <w:ind w:firstLine="420"/>
        <w:rPr>
          <w:rFonts w:ascii="楷体_GB2312" w:eastAsia="楷体_GB2312"/>
          <w:b/>
          <w:sz w:val="24"/>
        </w:rPr>
      </w:pPr>
    </w:p>
    <w:p w14:paraId="4B7DA2C6">
      <w:pPr>
        <w:tabs>
          <w:tab w:val="left" w:pos="4320"/>
        </w:tabs>
        <w:snapToGrid w:val="0"/>
        <w:spacing w:line="360" w:lineRule="auto"/>
        <w:ind w:firstLine="420"/>
        <w:rPr>
          <w:rFonts w:ascii="楷体_GB2312" w:eastAsia="楷体_GB2312"/>
          <w:b/>
          <w:sz w:val="24"/>
        </w:rPr>
      </w:pPr>
      <w:r>
        <w:rPr>
          <w:rFonts w:hint="eastAsia" w:ascii="楷体" w:hAnsi="楷体" w:eastAsia="楷体"/>
          <w:b/>
          <w:sz w:val="24"/>
          <w:lang w:val="en-GB"/>
        </w:rPr>
        <w:t>法定代表人或授权代表人签字</w:t>
      </w:r>
      <w:r>
        <w:rPr>
          <w:rFonts w:hint="eastAsia" w:ascii="楷体_GB2312" w:eastAsia="楷体_GB2312"/>
          <w:b/>
          <w:sz w:val="24"/>
        </w:rPr>
        <w:t>：</w:t>
      </w:r>
    </w:p>
    <w:p w14:paraId="7E008165">
      <w:pPr>
        <w:tabs>
          <w:tab w:val="left" w:pos="4320"/>
        </w:tabs>
        <w:snapToGrid w:val="0"/>
        <w:spacing w:line="360" w:lineRule="auto"/>
        <w:ind w:firstLine="420"/>
        <w:rPr>
          <w:rFonts w:ascii="楷体_GB2312" w:eastAsia="楷体_GB2312"/>
          <w:b/>
          <w:sz w:val="24"/>
        </w:rPr>
      </w:pPr>
      <w:r>
        <w:rPr>
          <w:rFonts w:hint="eastAsia" w:ascii="楷体_GB2312" w:eastAsia="楷体_GB2312"/>
          <w:b/>
          <w:sz w:val="24"/>
        </w:rPr>
        <w:t>签署日期：</w:t>
      </w:r>
      <w:r>
        <w:rPr>
          <w:rFonts w:hint="eastAsia" w:ascii="楷体_GB2312" w:eastAsia="楷体_GB2312"/>
          <w:b/>
          <w:sz w:val="24"/>
          <w:lang w:val="en-US" w:eastAsia="zh-CN"/>
        </w:rPr>
        <w:t xml:space="preserve">    </w:t>
      </w:r>
      <w:r>
        <w:rPr>
          <w:rFonts w:hint="eastAsia" w:ascii="楷体_GB2312" w:eastAsia="楷体_GB2312"/>
          <w:b/>
          <w:sz w:val="24"/>
        </w:rPr>
        <w:t>年</w:t>
      </w:r>
      <w:r>
        <w:rPr>
          <w:rFonts w:hint="eastAsia" w:ascii="楷体_GB2312" w:eastAsia="楷体_GB2312"/>
          <w:b/>
          <w:sz w:val="24"/>
          <w:lang w:val="en-US" w:eastAsia="zh-CN"/>
        </w:rPr>
        <w:t xml:space="preserve">   </w:t>
      </w:r>
      <w:r>
        <w:rPr>
          <w:rFonts w:hint="eastAsia" w:ascii="楷体_GB2312" w:eastAsia="楷体_GB2312"/>
          <w:b/>
          <w:sz w:val="24"/>
        </w:rPr>
        <w:t>月</w:t>
      </w:r>
      <w:r>
        <w:rPr>
          <w:rFonts w:hint="eastAsia" w:ascii="楷体_GB2312" w:eastAsia="楷体_GB2312"/>
          <w:b/>
          <w:sz w:val="24"/>
          <w:lang w:val="en-US" w:eastAsia="zh-CN"/>
        </w:rPr>
        <w:t xml:space="preserve">   </w:t>
      </w:r>
      <w:r>
        <w:rPr>
          <w:rFonts w:hint="eastAsia" w:ascii="楷体_GB2312" w:eastAsia="楷体_GB2312"/>
          <w:b/>
          <w:sz w:val="24"/>
        </w:rPr>
        <w:t>日</w:t>
      </w:r>
    </w:p>
    <w:p w14:paraId="2A1CEEC4">
      <w:pPr>
        <w:tabs>
          <w:tab w:val="left" w:pos="4320"/>
        </w:tabs>
        <w:snapToGrid w:val="0"/>
        <w:spacing w:line="360" w:lineRule="auto"/>
        <w:ind w:firstLine="420"/>
        <w:rPr>
          <w:rFonts w:ascii="楷体_GB2312" w:eastAsia="楷体_GB2312"/>
          <w:b/>
          <w:sz w:val="24"/>
        </w:rPr>
      </w:pPr>
    </w:p>
    <w:p w14:paraId="12A90D35">
      <w:pPr>
        <w:tabs>
          <w:tab w:val="left" w:pos="4320"/>
        </w:tabs>
        <w:snapToGrid w:val="0"/>
        <w:spacing w:line="360" w:lineRule="auto"/>
        <w:ind w:firstLine="420"/>
        <w:rPr>
          <w:rFonts w:ascii="楷体_GB2312" w:eastAsia="楷体_GB2312"/>
          <w:b/>
          <w:sz w:val="24"/>
        </w:rPr>
      </w:pPr>
    </w:p>
    <w:p w14:paraId="1E38883B">
      <w:pPr>
        <w:tabs>
          <w:tab w:val="left" w:pos="4320"/>
        </w:tabs>
        <w:snapToGrid w:val="0"/>
        <w:spacing w:line="360" w:lineRule="auto"/>
        <w:ind w:firstLine="420"/>
        <w:rPr>
          <w:rFonts w:ascii="楷体_GB2312" w:eastAsia="楷体_GB2312"/>
          <w:b/>
          <w:sz w:val="24"/>
        </w:rPr>
      </w:pPr>
    </w:p>
    <w:p w14:paraId="6AD6D3C0">
      <w:pPr>
        <w:snapToGrid w:val="0"/>
        <w:spacing w:line="360" w:lineRule="auto"/>
        <w:ind w:firstLine="420"/>
        <w:rPr>
          <w:rFonts w:hint="eastAsia" w:ascii="楷体_GB2312" w:eastAsia="楷体_GB2312"/>
          <w:b/>
          <w:sz w:val="24"/>
          <w:lang w:eastAsia="zh-CN"/>
        </w:rPr>
      </w:pPr>
      <w:r>
        <w:rPr>
          <w:rFonts w:hint="eastAsia" w:ascii="楷体_GB2312" w:eastAsia="楷体_GB2312"/>
          <w:b/>
          <w:sz w:val="24"/>
        </w:rPr>
        <w:t>乙方（签章）：</w:t>
      </w:r>
      <w:r>
        <w:rPr>
          <w:rFonts w:hint="eastAsia" w:ascii="楷体_GB2312" w:eastAsia="楷体_GB2312"/>
          <w:b/>
          <w:sz w:val="24"/>
          <w:lang w:eastAsia="zh-CN"/>
        </w:rPr>
        <w:t>XX评估公司</w:t>
      </w:r>
    </w:p>
    <w:p w14:paraId="410E910A">
      <w:pPr>
        <w:snapToGrid w:val="0"/>
        <w:spacing w:line="360" w:lineRule="auto"/>
        <w:ind w:firstLine="420"/>
        <w:rPr>
          <w:rFonts w:ascii="楷体_GB2312" w:eastAsia="楷体_GB2312"/>
          <w:b/>
          <w:sz w:val="24"/>
        </w:rPr>
      </w:pPr>
    </w:p>
    <w:p w14:paraId="2A50DF05">
      <w:pPr>
        <w:snapToGrid w:val="0"/>
        <w:spacing w:line="360" w:lineRule="auto"/>
        <w:ind w:firstLine="420"/>
        <w:rPr>
          <w:rFonts w:ascii="楷体_GB2312" w:eastAsia="楷体_GB2312"/>
          <w:b/>
          <w:sz w:val="24"/>
        </w:rPr>
      </w:pPr>
    </w:p>
    <w:p w14:paraId="0292E92D">
      <w:pPr>
        <w:tabs>
          <w:tab w:val="left" w:pos="4320"/>
        </w:tabs>
        <w:snapToGrid w:val="0"/>
        <w:spacing w:line="360" w:lineRule="auto"/>
        <w:ind w:firstLine="420"/>
        <w:rPr>
          <w:rFonts w:ascii="楷体_GB2312" w:eastAsia="楷体_GB2312"/>
          <w:b/>
          <w:sz w:val="24"/>
        </w:rPr>
      </w:pPr>
      <w:r>
        <w:rPr>
          <w:rFonts w:hint="eastAsia" w:ascii="楷体" w:hAnsi="楷体" w:eastAsia="楷体"/>
          <w:b/>
          <w:sz w:val="24"/>
          <w:lang w:val="en-GB"/>
        </w:rPr>
        <w:t>法定代表人或授权代表人签字</w:t>
      </w:r>
      <w:r>
        <w:rPr>
          <w:rFonts w:hint="eastAsia" w:ascii="楷体_GB2312" w:eastAsia="楷体_GB2312"/>
          <w:b/>
          <w:sz w:val="24"/>
        </w:rPr>
        <w:t>：</w:t>
      </w:r>
    </w:p>
    <w:p w14:paraId="300BBBE0">
      <w:pPr>
        <w:tabs>
          <w:tab w:val="left" w:pos="4320"/>
        </w:tabs>
        <w:snapToGrid w:val="0"/>
        <w:spacing w:line="360" w:lineRule="auto"/>
        <w:ind w:firstLine="420"/>
        <w:rPr>
          <w:rFonts w:ascii="楷体_GB2312" w:eastAsia="楷体_GB2312"/>
          <w:b/>
          <w:sz w:val="24"/>
        </w:rPr>
      </w:pPr>
      <w:r>
        <w:rPr>
          <w:rFonts w:hint="eastAsia" w:ascii="楷体_GB2312" w:eastAsia="楷体_GB2312"/>
          <w:b/>
          <w:sz w:val="24"/>
        </w:rPr>
        <w:t>签署日期：</w:t>
      </w:r>
      <w:r>
        <w:rPr>
          <w:rFonts w:hint="eastAsia" w:ascii="楷体_GB2312" w:eastAsia="楷体_GB2312"/>
          <w:b/>
          <w:sz w:val="24"/>
          <w:lang w:val="en-US" w:eastAsia="zh-CN"/>
        </w:rPr>
        <w:t xml:space="preserve">    </w:t>
      </w:r>
      <w:r>
        <w:rPr>
          <w:rFonts w:hint="eastAsia" w:ascii="楷体_GB2312" w:eastAsia="楷体_GB2312"/>
          <w:b/>
          <w:sz w:val="24"/>
        </w:rPr>
        <w:t>年</w:t>
      </w:r>
      <w:r>
        <w:rPr>
          <w:rFonts w:hint="eastAsia" w:ascii="楷体_GB2312" w:eastAsia="楷体_GB2312"/>
          <w:b/>
          <w:sz w:val="24"/>
          <w:lang w:val="en-US" w:eastAsia="zh-CN"/>
        </w:rPr>
        <w:t xml:space="preserve">   </w:t>
      </w:r>
      <w:r>
        <w:rPr>
          <w:rFonts w:hint="eastAsia" w:ascii="楷体_GB2312" w:eastAsia="楷体_GB2312"/>
          <w:b/>
          <w:sz w:val="24"/>
        </w:rPr>
        <w:t>月</w:t>
      </w:r>
      <w:r>
        <w:rPr>
          <w:rFonts w:hint="eastAsia" w:ascii="楷体_GB2312" w:eastAsia="楷体_GB2312"/>
          <w:b/>
          <w:sz w:val="24"/>
          <w:lang w:val="en-US" w:eastAsia="zh-CN"/>
        </w:rPr>
        <w:t xml:space="preserve">   </w:t>
      </w:r>
      <w:r>
        <w:rPr>
          <w:rFonts w:hint="eastAsia" w:ascii="楷体_GB2312" w:eastAsia="楷体_GB2312"/>
          <w:b/>
          <w:sz w:val="24"/>
        </w:rPr>
        <w:t>日</w:t>
      </w:r>
    </w:p>
    <w:p w14:paraId="080E6703">
      <w:pPr>
        <w:tabs>
          <w:tab w:val="left" w:pos="4320"/>
        </w:tabs>
        <w:snapToGrid w:val="0"/>
        <w:spacing w:line="360" w:lineRule="auto"/>
        <w:ind w:firstLine="420"/>
        <w:rPr>
          <w:rFonts w:ascii="楷体_GB2312" w:eastAsia="楷体_GB2312"/>
          <w:b/>
          <w:sz w:val="24"/>
        </w:rPr>
      </w:pPr>
    </w:p>
    <w:p w14:paraId="0068303A">
      <w:pPr>
        <w:tabs>
          <w:tab w:val="left" w:pos="4320"/>
        </w:tabs>
        <w:snapToGrid w:val="0"/>
        <w:spacing w:line="360" w:lineRule="auto"/>
        <w:ind w:firstLine="420"/>
        <w:rPr>
          <w:rFonts w:ascii="楷体_GB2312" w:eastAsia="楷体_GB2312"/>
          <w:b/>
          <w:sz w:val="24"/>
        </w:rPr>
      </w:pPr>
    </w:p>
    <w:p w14:paraId="1B9B2536">
      <w:pPr>
        <w:tabs>
          <w:tab w:val="left" w:pos="4320"/>
        </w:tabs>
        <w:snapToGrid w:val="0"/>
        <w:spacing w:line="360" w:lineRule="auto"/>
        <w:ind w:firstLine="420"/>
        <w:rPr>
          <w:rFonts w:ascii="楷体_GB2312" w:eastAsia="楷体_GB2312"/>
          <w:b/>
          <w:sz w:val="24"/>
        </w:rPr>
      </w:pPr>
    </w:p>
    <w:p w14:paraId="7B2F1BF1">
      <w:pPr>
        <w:tabs>
          <w:tab w:val="left" w:pos="4320"/>
        </w:tabs>
        <w:snapToGrid w:val="0"/>
        <w:spacing w:line="360" w:lineRule="auto"/>
        <w:ind w:firstLine="420"/>
        <w:rPr>
          <w:rFonts w:hint="eastAsia" w:ascii="楷体_GB2312" w:eastAsia="楷体_GB2312"/>
          <w:b/>
          <w:sz w:val="24"/>
          <w:lang w:eastAsia="zh-CN"/>
        </w:rPr>
      </w:pPr>
      <w:r>
        <w:rPr>
          <w:rFonts w:hint="eastAsia" w:ascii="楷体_GB2312" w:eastAsia="楷体_GB2312"/>
          <w:b/>
          <w:sz w:val="24"/>
        </w:rPr>
        <w:t>开户名称：</w:t>
      </w:r>
      <w:r>
        <w:rPr>
          <w:rFonts w:hint="eastAsia" w:ascii="楷体_GB2312" w:eastAsia="楷体_GB2312"/>
          <w:b/>
          <w:sz w:val="24"/>
          <w:lang w:eastAsia="zh-CN"/>
        </w:rPr>
        <w:t>XX评估公司</w:t>
      </w:r>
    </w:p>
    <w:p w14:paraId="78851646">
      <w:pPr>
        <w:tabs>
          <w:tab w:val="left" w:pos="4320"/>
        </w:tabs>
        <w:snapToGrid w:val="0"/>
        <w:spacing w:line="360" w:lineRule="auto"/>
        <w:ind w:firstLine="420"/>
        <w:rPr>
          <w:rFonts w:ascii="楷体_GB2312" w:eastAsia="楷体_GB2312"/>
          <w:b/>
          <w:sz w:val="24"/>
        </w:rPr>
      </w:pPr>
      <w:r>
        <w:rPr>
          <w:rFonts w:hint="eastAsia" w:ascii="楷体_GB2312" w:eastAsia="楷体_GB2312"/>
          <w:b/>
          <w:sz w:val="24"/>
        </w:rPr>
        <w:t>开户银行：</w:t>
      </w:r>
      <w:r>
        <w:rPr>
          <w:rFonts w:hint="eastAsia" w:ascii="楷体_GB2312" w:eastAsia="楷体_GB2312"/>
          <w:b/>
          <w:sz w:val="24"/>
          <w:lang w:val="en-US" w:eastAsia="zh-CN"/>
        </w:rPr>
        <w:t>XXXX</w:t>
      </w:r>
      <w:r>
        <w:rPr>
          <w:rFonts w:hint="eastAsia" w:ascii="楷体_GB2312" w:eastAsia="楷体_GB2312"/>
          <w:b/>
          <w:sz w:val="24"/>
        </w:rPr>
        <w:t>支行</w:t>
      </w:r>
    </w:p>
    <w:p w14:paraId="65D6E9C8">
      <w:pPr>
        <w:tabs>
          <w:tab w:val="left" w:pos="4320"/>
        </w:tabs>
        <w:snapToGrid w:val="0"/>
        <w:spacing w:line="360" w:lineRule="auto"/>
        <w:ind w:firstLine="420"/>
        <w:rPr>
          <w:rFonts w:hint="default" w:ascii="楷体_GB2312" w:eastAsia="楷体_GB2312"/>
          <w:b/>
          <w:sz w:val="24"/>
          <w:lang w:val="en-US" w:eastAsia="zh-CN"/>
        </w:rPr>
      </w:pPr>
      <w:r>
        <w:rPr>
          <w:rFonts w:hint="eastAsia" w:ascii="楷体_GB2312" w:eastAsia="楷体_GB2312"/>
          <w:b/>
          <w:sz w:val="24"/>
        </w:rPr>
        <w:t>账</w:t>
      </w:r>
      <w:r>
        <w:rPr>
          <w:rFonts w:hint="eastAsia" w:ascii="楷体_GB2312" w:eastAsia="楷体_GB2312"/>
          <w:b/>
          <w:sz w:val="24"/>
          <w:lang w:val="en-US" w:eastAsia="zh-CN"/>
        </w:rPr>
        <w:t xml:space="preserve">    </w:t>
      </w:r>
      <w:r>
        <w:rPr>
          <w:rFonts w:hint="eastAsia" w:ascii="楷体_GB2312" w:eastAsia="楷体_GB2312"/>
          <w:b/>
          <w:sz w:val="24"/>
        </w:rPr>
        <w:t>号：</w:t>
      </w:r>
      <w:r>
        <w:rPr>
          <w:rFonts w:hint="eastAsia" w:ascii="楷体_GB2312" w:eastAsia="楷体_GB2312"/>
          <w:b/>
          <w:sz w:val="24"/>
          <w:lang w:val="en-US" w:eastAsia="zh-CN"/>
        </w:rPr>
        <w:t>XXXX</w:t>
      </w:r>
    </w:p>
    <w:sectPr>
      <w:headerReference r:id="rId3" w:type="default"/>
      <w:footerReference r:id="rId4" w:type="default"/>
      <w:footerReference r:id="rId5" w:type="even"/>
      <w:pgSz w:w="11906" w:h="16838"/>
      <w:pgMar w:top="1440" w:right="1361" w:bottom="1300" w:left="1361" w:header="720" w:footer="720" w:gutter="227"/>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A2AC7">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4</w:t>
    </w:r>
    <w:r>
      <w:rPr>
        <w:rStyle w:val="8"/>
      </w:rPr>
      <w:fldChar w:fldCharType="end"/>
    </w:r>
  </w:p>
  <w:p w14:paraId="4F7D1BB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38F22">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6ADE646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7CEF8">
    <w:pPr>
      <w:pStyle w:val="5"/>
      <w:jc w:val="right"/>
      <w:rPr>
        <w:rFonts w:hint="eastAsia" w:eastAsia="楷体_GB2312"/>
        <w:i/>
        <w:lang w:eastAsia="zh-CN"/>
      </w:rPr>
    </w:pPr>
    <w:r>
      <w:rPr>
        <w:rFonts w:hint="eastAsia" w:eastAsia="楷体_GB2312"/>
        <w:i/>
        <w:lang w:eastAsia="zh-CN"/>
      </w:rPr>
      <w:t>XX评估公司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MzI3MDJjNDA2ZmZjZDIwZGUwM2RhMDljZGUxZjcifQ=="/>
  </w:docVars>
  <w:rsids>
    <w:rsidRoot w:val="00E662EC"/>
    <w:rsid w:val="00002E1D"/>
    <w:rsid w:val="0003311D"/>
    <w:rsid w:val="000331FE"/>
    <w:rsid w:val="00037843"/>
    <w:rsid w:val="00044886"/>
    <w:rsid w:val="00051858"/>
    <w:rsid w:val="000564F0"/>
    <w:rsid w:val="00065EDE"/>
    <w:rsid w:val="000667AA"/>
    <w:rsid w:val="000822E3"/>
    <w:rsid w:val="000C7037"/>
    <w:rsid w:val="000C7508"/>
    <w:rsid w:val="000D1E7B"/>
    <w:rsid w:val="000D4557"/>
    <w:rsid w:val="000D46BD"/>
    <w:rsid w:val="000D7E00"/>
    <w:rsid w:val="000E0A7F"/>
    <w:rsid w:val="000E61A0"/>
    <w:rsid w:val="00104F45"/>
    <w:rsid w:val="00105E79"/>
    <w:rsid w:val="001129CB"/>
    <w:rsid w:val="00115D85"/>
    <w:rsid w:val="0012104F"/>
    <w:rsid w:val="00133E37"/>
    <w:rsid w:val="00137719"/>
    <w:rsid w:val="001406C7"/>
    <w:rsid w:val="001520B0"/>
    <w:rsid w:val="0015671B"/>
    <w:rsid w:val="0016146E"/>
    <w:rsid w:val="00175282"/>
    <w:rsid w:val="001807F9"/>
    <w:rsid w:val="00183728"/>
    <w:rsid w:val="0019189F"/>
    <w:rsid w:val="001A7396"/>
    <w:rsid w:val="001B4674"/>
    <w:rsid w:val="001B5B58"/>
    <w:rsid w:val="001B72AA"/>
    <w:rsid w:val="001B76BB"/>
    <w:rsid w:val="001C3C0C"/>
    <w:rsid w:val="001D4E8E"/>
    <w:rsid w:val="001D7AE3"/>
    <w:rsid w:val="001E2242"/>
    <w:rsid w:val="001F50EA"/>
    <w:rsid w:val="002304C4"/>
    <w:rsid w:val="00235FFA"/>
    <w:rsid w:val="002360F2"/>
    <w:rsid w:val="00252752"/>
    <w:rsid w:val="00265354"/>
    <w:rsid w:val="00282E0A"/>
    <w:rsid w:val="00287546"/>
    <w:rsid w:val="0029681B"/>
    <w:rsid w:val="00297A6B"/>
    <w:rsid w:val="002A1FD9"/>
    <w:rsid w:val="002A44F9"/>
    <w:rsid w:val="002B1FF0"/>
    <w:rsid w:val="002B3BED"/>
    <w:rsid w:val="002C13C9"/>
    <w:rsid w:val="002D01A5"/>
    <w:rsid w:val="002D27AF"/>
    <w:rsid w:val="002D6777"/>
    <w:rsid w:val="002E65B2"/>
    <w:rsid w:val="00311A27"/>
    <w:rsid w:val="00320FB6"/>
    <w:rsid w:val="00331D5A"/>
    <w:rsid w:val="003342CF"/>
    <w:rsid w:val="0034640E"/>
    <w:rsid w:val="0034736C"/>
    <w:rsid w:val="00352C8E"/>
    <w:rsid w:val="003530BA"/>
    <w:rsid w:val="003541E9"/>
    <w:rsid w:val="003555AC"/>
    <w:rsid w:val="00355FE7"/>
    <w:rsid w:val="0036085F"/>
    <w:rsid w:val="00365D64"/>
    <w:rsid w:val="003676AB"/>
    <w:rsid w:val="00371117"/>
    <w:rsid w:val="0037403A"/>
    <w:rsid w:val="00383B4D"/>
    <w:rsid w:val="00391116"/>
    <w:rsid w:val="0039198A"/>
    <w:rsid w:val="00391AD8"/>
    <w:rsid w:val="00394A44"/>
    <w:rsid w:val="00395900"/>
    <w:rsid w:val="003A2F2B"/>
    <w:rsid w:val="003A4DB8"/>
    <w:rsid w:val="003B2E06"/>
    <w:rsid w:val="003C288F"/>
    <w:rsid w:val="003C7768"/>
    <w:rsid w:val="003C7A71"/>
    <w:rsid w:val="003D7552"/>
    <w:rsid w:val="003E100D"/>
    <w:rsid w:val="003E261F"/>
    <w:rsid w:val="003E3315"/>
    <w:rsid w:val="003E54EC"/>
    <w:rsid w:val="003F268E"/>
    <w:rsid w:val="003F5677"/>
    <w:rsid w:val="003F79CA"/>
    <w:rsid w:val="003F7B6A"/>
    <w:rsid w:val="00403E66"/>
    <w:rsid w:val="0040777C"/>
    <w:rsid w:val="00411DF1"/>
    <w:rsid w:val="00412B07"/>
    <w:rsid w:val="00413AA3"/>
    <w:rsid w:val="00420DD9"/>
    <w:rsid w:val="004225FB"/>
    <w:rsid w:val="00440A37"/>
    <w:rsid w:val="00444221"/>
    <w:rsid w:val="004447CB"/>
    <w:rsid w:val="0044512E"/>
    <w:rsid w:val="00460D41"/>
    <w:rsid w:val="00464403"/>
    <w:rsid w:val="00465BE1"/>
    <w:rsid w:val="00476FC2"/>
    <w:rsid w:val="004776E2"/>
    <w:rsid w:val="004910C9"/>
    <w:rsid w:val="0049552A"/>
    <w:rsid w:val="00496294"/>
    <w:rsid w:val="004C2CC3"/>
    <w:rsid w:val="004C523A"/>
    <w:rsid w:val="004C5B32"/>
    <w:rsid w:val="004D39A8"/>
    <w:rsid w:val="004D3D9A"/>
    <w:rsid w:val="004E0680"/>
    <w:rsid w:val="004E0C41"/>
    <w:rsid w:val="004E190A"/>
    <w:rsid w:val="004E2536"/>
    <w:rsid w:val="00526137"/>
    <w:rsid w:val="00526B49"/>
    <w:rsid w:val="00532AB8"/>
    <w:rsid w:val="005407F0"/>
    <w:rsid w:val="005438F0"/>
    <w:rsid w:val="00546F8B"/>
    <w:rsid w:val="00547FF6"/>
    <w:rsid w:val="00553BF5"/>
    <w:rsid w:val="0055760D"/>
    <w:rsid w:val="00564C01"/>
    <w:rsid w:val="0057165B"/>
    <w:rsid w:val="00572A97"/>
    <w:rsid w:val="00595C85"/>
    <w:rsid w:val="005A04C1"/>
    <w:rsid w:val="005B31A1"/>
    <w:rsid w:val="005C1CCC"/>
    <w:rsid w:val="005D420A"/>
    <w:rsid w:val="005E6BEB"/>
    <w:rsid w:val="005F2452"/>
    <w:rsid w:val="005F7028"/>
    <w:rsid w:val="00605467"/>
    <w:rsid w:val="0062356C"/>
    <w:rsid w:val="006277D9"/>
    <w:rsid w:val="00630B63"/>
    <w:rsid w:val="00636B25"/>
    <w:rsid w:val="00636D11"/>
    <w:rsid w:val="006445ED"/>
    <w:rsid w:val="00663866"/>
    <w:rsid w:val="00666F16"/>
    <w:rsid w:val="0068380D"/>
    <w:rsid w:val="006864AB"/>
    <w:rsid w:val="0069064D"/>
    <w:rsid w:val="0069490F"/>
    <w:rsid w:val="00696446"/>
    <w:rsid w:val="00697062"/>
    <w:rsid w:val="006A2B46"/>
    <w:rsid w:val="006A7837"/>
    <w:rsid w:val="006C04D3"/>
    <w:rsid w:val="006C15CB"/>
    <w:rsid w:val="006D5DE3"/>
    <w:rsid w:val="006E0056"/>
    <w:rsid w:val="006E4293"/>
    <w:rsid w:val="007040A5"/>
    <w:rsid w:val="007044DD"/>
    <w:rsid w:val="00704F56"/>
    <w:rsid w:val="00720DC2"/>
    <w:rsid w:val="00726958"/>
    <w:rsid w:val="0072745D"/>
    <w:rsid w:val="00727A7E"/>
    <w:rsid w:val="00741DD3"/>
    <w:rsid w:val="007420CB"/>
    <w:rsid w:val="00743A53"/>
    <w:rsid w:val="00745F12"/>
    <w:rsid w:val="0075223C"/>
    <w:rsid w:val="00754B4E"/>
    <w:rsid w:val="00756A4D"/>
    <w:rsid w:val="007605F2"/>
    <w:rsid w:val="00766863"/>
    <w:rsid w:val="007745D4"/>
    <w:rsid w:val="00786AA3"/>
    <w:rsid w:val="00786BEB"/>
    <w:rsid w:val="0079004C"/>
    <w:rsid w:val="00793FA1"/>
    <w:rsid w:val="007A2653"/>
    <w:rsid w:val="007B6970"/>
    <w:rsid w:val="007C14D3"/>
    <w:rsid w:val="007E18B1"/>
    <w:rsid w:val="007F0B72"/>
    <w:rsid w:val="00800D20"/>
    <w:rsid w:val="00804377"/>
    <w:rsid w:val="00816F3D"/>
    <w:rsid w:val="00823215"/>
    <w:rsid w:val="008245B4"/>
    <w:rsid w:val="00837625"/>
    <w:rsid w:val="00844812"/>
    <w:rsid w:val="0084783C"/>
    <w:rsid w:val="00852E78"/>
    <w:rsid w:val="008557E3"/>
    <w:rsid w:val="00855D56"/>
    <w:rsid w:val="008600A4"/>
    <w:rsid w:val="00865D16"/>
    <w:rsid w:val="00866395"/>
    <w:rsid w:val="00873AB7"/>
    <w:rsid w:val="00875B6A"/>
    <w:rsid w:val="00880A6E"/>
    <w:rsid w:val="0089095B"/>
    <w:rsid w:val="0089617B"/>
    <w:rsid w:val="008A055A"/>
    <w:rsid w:val="008A78E2"/>
    <w:rsid w:val="008C0C98"/>
    <w:rsid w:val="008C7358"/>
    <w:rsid w:val="008D3014"/>
    <w:rsid w:val="008D4D97"/>
    <w:rsid w:val="008E0300"/>
    <w:rsid w:val="008E15A2"/>
    <w:rsid w:val="008E36C3"/>
    <w:rsid w:val="008E6D78"/>
    <w:rsid w:val="008F0D15"/>
    <w:rsid w:val="008F447D"/>
    <w:rsid w:val="008F5FE1"/>
    <w:rsid w:val="008F7904"/>
    <w:rsid w:val="00910007"/>
    <w:rsid w:val="00912720"/>
    <w:rsid w:val="00915B56"/>
    <w:rsid w:val="00917441"/>
    <w:rsid w:val="00921777"/>
    <w:rsid w:val="00927F15"/>
    <w:rsid w:val="009323F0"/>
    <w:rsid w:val="0093689F"/>
    <w:rsid w:val="00965F93"/>
    <w:rsid w:val="00966365"/>
    <w:rsid w:val="00970FAD"/>
    <w:rsid w:val="009712B6"/>
    <w:rsid w:val="00973CB8"/>
    <w:rsid w:val="00975F90"/>
    <w:rsid w:val="00980448"/>
    <w:rsid w:val="00981DAE"/>
    <w:rsid w:val="0098396B"/>
    <w:rsid w:val="009842D9"/>
    <w:rsid w:val="00990789"/>
    <w:rsid w:val="00993DB5"/>
    <w:rsid w:val="009A2E76"/>
    <w:rsid w:val="009B3091"/>
    <w:rsid w:val="009C02A7"/>
    <w:rsid w:val="009C2798"/>
    <w:rsid w:val="009D3F81"/>
    <w:rsid w:val="009D5A14"/>
    <w:rsid w:val="009F3E37"/>
    <w:rsid w:val="00A06F5A"/>
    <w:rsid w:val="00A17BB7"/>
    <w:rsid w:val="00A17D45"/>
    <w:rsid w:val="00A212F2"/>
    <w:rsid w:val="00A21458"/>
    <w:rsid w:val="00A22422"/>
    <w:rsid w:val="00A2728A"/>
    <w:rsid w:val="00A444E0"/>
    <w:rsid w:val="00A450B7"/>
    <w:rsid w:val="00A525A1"/>
    <w:rsid w:val="00A531FD"/>
    <w:rsid w:val="00A54074"/>
    <w:rsid w:val="00A5643E"/>
    <w:rsid w:val="00A76532"/>
    <w:rsid w:val="00A84B40"/>
    <w:rsid w:val="00A84B4F"/>
    <w:rsid w:val="00A90677"/>
    <w:rsid w:val="00A93FA2"/>
    <w:rsid w:val="00AB195F"/>
    <w:rsid w:val="00AE0086"/>
    <w:rsid w:val="00AE46B0"/>
    <w:rsid w:val="00AE7823"/>
    <w:rsid w:val="00B01001"/>
    <w:rsid w:val="00B0233A"/>
    <w:rsid w:val="00B0384F"/>
    <w:rsid w:val="00B04DC4"/>
    <w:rsid w:val="00B349FC"/>
    <w:rsid w:val="00B36A74"/>
    <w:rsid w:val="00B37E46"/>
    <w:rsid w:val="00B43700"/>
    <w:rsid w:val="00B43B38"/>
    <w:rsid w:val="00B516A4"/>
    <w:rsid w:val="00B53E1B"/>
    <w:rsid w:val="00B61D1B"/>
    <w:rsid w:val="00B80AAE"/>
    <w:rsid w:val="00B919DE"/>
    <w:rsid w:val="00B93411"/>
    <w:rsid w:val="00B95186"/>
    <w:rsid w:val="00B96005"/>
    <w:rsid w:val="00BA44AD"/>
    <w:rsid w:val="00BA60C9"/>
    <w:rsid w:val="00BB6C6E"/>
    <w:rsid w:val="00BB7F6F"/>
    <w:rsid w:val="00BC2513"/>
    <w:rsid w:val="00BC36DA"/>
    <w:rsid w:val="00BC7238"/>
    <w:rsid w:val="00BC7322"/>
    <w:rsid w:val="00BD47FF"/>
    <w:rsid w:val="00BD4EC9"/>
    <w:rsid w:val="00BE63B3"/>
    <w:rsid w:val="00BE7F80"/>
    <w:rsid w:val="00BF3BC8"/>
    <w:rsid w:val="00BF619D"/>
    <w:rsid w:val="00BF6411"/>
    <w:rsid w:val="00BF7589"/>
    <w:rsid w:val="00C06B90"/>
    <w:rsid w:val="00C333E1"/>
    <w:rsid w:val="00C34CCC"/>
    <w:rsid w:val="00C362F5"/>
    <w:rsid w:val="00C635E7"/>
    <w:rsid w:val="00C67A2C"/>
    <w:rsid w:val="00C7287D"/>
    <w:rsid w:val="00C911B9"/>
    <w:rsid w:val="00C91782"/>
    <w:rsid w:val="00C9253F"/>
    <w:rsid w:val="00C94C0B"/>
    <w:rsid w:val="00C94DBE"/>
    <w:rsid w:val="00CA1245"/>
    <w:rsid w:val="00CA294C"/>
    <w:rsid w:val="00CB1623"/>
    <w:rsid w:val="00CB2C78"/>
    <w:rsid w:val="00CB3396"/>
    <w:rsid w:val="00CB422D"/>
    <w:rsid w:val="00CB7231"/>
    <w:rsid w:val="00CC04EF"/>
    <w:rsid w:val="00CC7AF3"/>
    <w:rsid w:val="00CE4993"/>
    <w:rsid w:val="00CE76D7"/>
    <w:rsid w:val="00CF122B"/>
    <w:rsid w:val="00CF2F10"/>
    <w:rsid w:val="00CF61BC"/>
    <w:rsid w:val="00D057B9"/>
    <w:rsid w:val="00D21F92"/>
    <w:rsid w:val="00D2605C"/>
    <w:rsid w:val="00D266D4"/>
    <w:rsid w:val="00D312C0"/>
    <w:rsid w:val="00D34C90"/>
    <w:rsid w:val="00D34CC7"/>
    <w:rsid w:val="00D35F61"/>
    <w:rsid w:val="00D3697F"/>
    <w:rsid w:val="00D4383A"/>
    <w:rsid w:val="00D52E5F"/>
    <w:rsid w:val="00D55C58"/>
    <w:rsid w:val="00D5799F"/>
    <w:rsid w:val="00D615BF"/>
    <w:rsid w:val="00D63422"/>
    <w:rsid w:val="00D656D6"/>
    <w:rsid w:val="00D65A37"/>
    <w:rsid w:val="00D67D2D"/>
    <w:rsid w:val="00D746B0"/>
    <w:rsid w:val="00D74F29"/>
    <w:rsid w:val="00D827C4"/>
    <w:rsid w:val="00DA59C5"/>
    <w:rsid w:val="00DB4C50"/>
    <w:rsid w:val="00DB6658"/>
    <w:rsid w:val="00DB6E33"/>
    <w:rsid w:val="00DC1236"/>
    <w:rsid w:val="00DC1573"/>
    <w:rsid w:val="00DC431C"/>
    <w:rsid w:val="00DC63A7"/>
    <w:rsid w:val="00DD0509"/>
    <w:rsid w:val="00DD1792"/>
    <w:rsid w:val="00DD7A4A"/>
    <w:rsid w:val="00DD7AE8"/>
    <w:rsid w:val="00DE48B3"/>
    <w:rsid w:val="00DE5052"/>
    <w:rsid w:val="00DE55CB"/>
    <w:rsid w:val="00DE6031"/>
    <w:rsid w:val="00DF4233"/>
    <w:rsid w:val="00DF7308"/>
    <w:rsid w:val="00E11551"/>
    <w:rsid w:val="00E11819"/>
    <w:rsid w:val="00E12661"/>
    <w:rsid w:val="00E12DAF"/>
    <w:rsid w:val="00E246F3"/>
    <w:rsid w:val="00E347CE"/>
    <w:rsid w:val="00E41050"/>
    <w:rsid w:val="00E552EB"/>
    <w:rsid w:val="00E64FFA"/>
    <w:rsid w:val="00E662EC"/>
    <w:rsid w:val="00E702D7"/>
    <w:rsid w:val="00E71C63"/>
    <w:rsid w:val="00E82703"/>
    <w:rsid w:val="00E85FD9"/>
    <w:rsid w:val="00EA31E8"/>
    <w:rsid w:val="00EB1BA6"/>
    <w:rsid w:val="00EC2270"/>
    <w:rsid w:val="00EC4D38"/>
    <w:rsid w:val="00EC62E6"/>
    <w:rsid w:val="00ED579B"/>
    <w:rsid w:val="00ED61F4"/>
    <w:rsid w:val="00EE2EDA"/>
    <w:rsid w:val="00EE428F"/>
    <w:rsid w:val="00F00F4B"/>
    <w:rsid w:val="00F048C8"/>
    <w:rsid w:val="00F048C9"/>
    <w:rsid w:val="00F15BDA"/>
    <w:rsid w:val="00F15F9C"/>
    <w:rsid w:val="00F1784D"/>
    <w:rsid w:val="00F22465"/>
    <w:rsid w:val="00F31526"/>
    <w:rsid w:val="00F32781"/>
    <w:rsid w:val="00F32CC2"/>
    <w:rsid w:val="00F52CBE"/>
    <w:rsid w:val="00F61AE9"/>
    <w:rsid w:val="00F85CF5"/>
    <w:rsid w:val="00F93930"/>
    <w:rsid w:val="00FA0026"/>
    <w:rsid w:val="00FB0F35"/>
    <w:rsid w:val="00FB5EFB"/>
    <w:rsid w:val="00FC1234"/>
    <w:rsid w:val="00FC514D"/>
    <w:rsid w:val="00FC57BA"/>
    <w:rsid w:val="00FC7B2E"/>
    <w:rsid w:val="00FD6CF9"/>
    <w:rsid w:val="00FD756F"/>
    <w:rsid w:val="00FE50F9"/>
    <w:rsid w:val="00FE569E"/>
    <w:rsid w:val="00FE7C03"/>
    <w:rsid w:val="00FF1AF3"/>
    <w:rsid w:val="00FF2B7E"/>
    <w:rsid w:val="00FF356C"/>
    <w:rsid w:val="00FF3E10"/>
    <w:rsid w:val="04CD6524"/>
    <w:rsid w:val="05742323"/>
    <w:rsid w:val="064E3415"/>
    <w:rsid w:val="069C3272"/>
    <w:rsid w:val="07A86A6B"/>
    <w:rsid w:val="08910549"/>
    <w:rsid w:val="097B081A"/>
    <w:rsid w:val="0D31504E"/>
    <w:rsid w:val="0F225395"/>
    <w:rsid w:val="0F7E3A23"/>
    <w:rsid w:val="10B65D95"/>
    <w:rsid w:val="11C94905"/>
    <w:rsid w:val="124D097B"/>
    <w:rsid w:val="132B1259"/>
    <w:rsid w:val="1339201A"/>
    <w:rsid w:val="15012AF7"/>
    <w:rsid w:val="16E873BF"/>
    <w:rsid w:val="16ED69DC"/>
    <w:rsid w:val="19120228"/>
    <w:rsid w:val="1C9D4C01"/>
    <w:rsid w:val="1D7C3254"/>
    <w:rsid w:val="1EB35E01"/>
    <w:rsid w:val="213F3B84"/>
    <w:rsid w:val="26153FE0"/>
    <w:rsid w:val="27631418"/>
    <w:rsid w:val="2A61067A"/>
    <w:rsid w:val="2C20754B"/>
    <w:rsid w:val="2D387B51"/>
    <w:rsid w:val="2D3A1C3D"/>
    <w:rsid w:val="30EC3128"/>
    <w:rsid w:val="30F92988"/>
    <w:rsid w:val="31257794"/>
    <w:rsid w:val="33576E6F"/>
    <w:rsid w:val="34BA2499"/>
    <w:rsid w:val="3738378F"/>
    <w:rsid w:val="3EA36D64"/>
    <w:rsid w:val="41562AF9"/>
    <w:rsid w:val="41862193"/>
    <w:rsid w:val="41D43A1D"/>
    <w:rsid w:val="455E6EF3"/>
    <w:rsid w:val="46A07468"/>
    <w:rsid w:val="476D1D37"/>
    <w:rsid w:val="4A7C5FA7"/>
    <w:rsid w:val="4C0C312A"/>
    <w:rsid w:val="4D667C4B"/>
    <w:rsid w:val="4DD93794"/>
    <w:rsid w:val="52A50FEC"/>
    <w:rsid w:val="57A061D8"/>
    <w:rsid w:val="59694D6D"/>
    <w:rsid w:val="5CE87F4D"/>
    <w:rsid w:val="5D7C4DF0"/>
    <w:rsid w:val="5D8F6D1E"/>
    <w:rsid w:val="5E4F4700"/>
    <w:rsid w:val="5E570305"/>
    <w:rsid w:val="606E3563"/>
    <w:rsid w:val="637C7D45"/>
    <w:rsid w:val="64977702"/>
    <w:rsid w:val="6FC56312"/>
    <w:rsid w:val="70991929"/>
    <w:rsid w:val="71795618"/>
    <w:rsid w:val="75E268D9"/>
    <w:rsid w:val="7A9B6D94"/>
    <w:rsid w:val="7E957B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rPr>
      <w:rFonts w:eastAsia="仿宋_GB2312"/>
      <w:sz w:val="30"/>
      <w:szCs w:val="30"/>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character" w:styleId="8">
    <w:name w:val="page number"/>
    <w:basedOn w:val="7"/>
    <w:qFormat/>
    <w:uiPriority w:val="0"/>
  </w:style>
  <w:style w:type="paragraph" w:customStyle="1" w:styleId="9">
    <w:name w:val="Char Char Char1 Char Char Char Char Char Char Char Char Char Char"/>
    <w:basedOn w:val="1"/>
    <w:autoRedefine/>
    <w:qFormat/>
    <w:uiPriority w:val="0"/>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7</Pages>
  <Words>3114</Words>
  <Characters>3164</Characters>
  <Lines>25</Lines>
  <Paragraphs>7</Paragraphs>
  <TotalTime>0</TotalTime>
  <ScaleCrop>false</ScaleCrop>
  <LinksUpToDate>false</LinksUpToDate>
  <CharactersWithSpaces>3225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2016-05-10T03:40:00Z</dcterms:created>
  <dc:creator>wq</dc:creator>
  <cp:lastModifiedBy>谢晓俊</cp:lastModifiedBy>
  <cp:lastPrinted>2017-06-15T06:39:00Z</cp:lastPrinted>
  <dcterms:modified xsi:type="dcterms:W3CDTF">2026-06-25T03:23:03Z</dcterms:modified>
  <dc:title>资产评估业务约定书</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BBEA899BCCDC4137B411ADD56737447B_13</vt:lpwstr>
  </property>
  <property fmtid="{D5CDD505-2E9C-101B-9397-08002B2CF9AE}" pid="4" name="KSOTemplateDocerSaveRecord">
    <vt:lpwstr>eyJoZGlkIjoiMDk5NGMzNWRjMmJhYjI4ZDI0ZGNhYWU0NTllMTU3N2MiLCJ1c2VySWQiOiI3NjA5ODU5MzUifQ==</vt:lpwstr>
  </property>
</Properties>
</file>