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  <w:t>附件1</w:t>
      </w:r>
    </w:p>
    <w:p w14:paraId="6FF44F1A">
      <w:pPr>
        <w:keepNext w:val="0"/>
        <w:keepLines w:val="0"/>
        <w:pageBreakBefore w:val="0"/>
        <w:wordWrap/>
        <w:overflowPunct/>
        <w:topLinePunct w:val="0"/>
        <w:bidi w:val="0"/>
        <w:spacing w:before="318" w:line="580" w:lineRule="exact"/>
        <w:ind w:left="370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6E3BEBD3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sz w:val="21"/>
        </w:rPr>
      </w:pPr>
      <w:bookmarkStart w:id="0" w:name="_GoBack"/>
      <w:bookmarkEnd w:id="0"/>
    </w:p>
    <w:p w14:paraId="145D0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广汉市悦弘文旅有限责任公司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：</w:t>
      </w:r>
    </w:p>
    <w:p w14:paraId="7FFD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 xml:space="preserve">    关于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食材及配送服务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>项目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，结合该事项的特点及服务内容，经研究决定，我方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1"/>
          <w:position w:val="1"/>
          <w:sz w:val="32"/>
          <w:szCs w:val="32"/>
          <w:highlight w:val="none"/>
          <w:lang w:val="en-US" w:eastAsia="zh-CN"/>
        </w:rPr>
        <w:t>市场基准价为基础，第一大类食材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下浮率为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1"/>
          <w:position w:val="1"/>
          <w:sz w:val="32"/>
          <w:szCs w:val="32"/>
          <w:highlight w:val="none"/>
          <w:lang w:val="en-US" w:eastAsia="zh-CN"/>
        </w:rPr>
        <w:t>第二大类食材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下浮率为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1"/>
          <w:position w:val="1"/>
          <w:sz w:val="32"/>
          <w:szCs w:val="32"/>
          <w:highlight w:val="none"/>
          <w:lang w:val="en-US" w:eastAsia="zh-CN"/>
        </w:rPr>
        <w:t>第三大类食材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下浮率为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1"/>
          <w:position w:val="1"/>
          <w:sz w:val="32"/>
          <w:szCs w:val="32"/>
          <w:highlight w:val="none"/>
          <w:lang w:val="en-US" w:eastAsia="zh-CN"/>
        </w:rPr>
        <w:t>第四大类食材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下浮率为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。</w:t>
      </w:r>
    </w:p>
    <w:p w14:paraId="238AB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</w:p>
    <w:p w14:paraId="4B74B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注：所有下浮率均用百分比表示，报价包括但不限于成本费、</w:t>
      </w:r>
      <w:r>
        <w:rPr>
          <w:rFonts w:hint="default" w:ascii="Times New Roman" w:hAnsi="Times New Roman" w:eastAsia="方正仿宋简体" w:cs="Times New Roman"/>
          <w:bCs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Cs/>
          <w:sz w:val="28"/>
          <w:szCs w:val="28"/>
          <w:lang w:val="en-US" w:eastAsia="zh-CN"/>
        </w:rPr>
        <w:t>人工费、搬运费、运输费、配送费等为完成本项目约定服务的所有费用，以及后续服务费。</w:t>
      </w:r>
    </w:p>
    <w:p w14:paraId="07738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D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3740E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（公章）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5E5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 系 人：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4F94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联系电话：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</w:t>
      </w:r>
    </w:p>
    <w:p w14:paraId="4FBA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520" w:firstLineChars="1100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日</w:t>
      </w:r>
    </w:p>
    <w:p w14:paraId="72A37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85C53"/>
    <w:rsid w:val="09BC3F99"/>
    <w:rsid w:val="0FB949BB"/>
    <w:rsid w:val="19424F36"/>
    <w:rsid w:val="2C31118E"/>
    <w:rsid w:val="2F2867A3"/>
    <w:rsid w:val="37176466"/>
    <w:rsid w:val="39F8197E"/>
    <w:rsid w:val="3FD450ED"/>
    <w:rsid w:val="53D85C53"/>
    <w:rsid w:val="58A7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2</TotalTime>
  <ScaleCrop>false</ScaleCrop>
  <LinksUpToDate>false</LinksUpToDate>
  <CharactersWithSpaces>295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2025-11-03T09:08:00Z</dcterms:created>
  <dc:creator>广金车检2</dc:creator>
  <cp:lastModifiedBy>小雨儿</cp:lastModifiedBy>
  <dcterms:modified xsi:type="dcterms:W3CDTF">2026-06-08T08:07:28Z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98E35F1EF78D49D090E775A9ED0300B4_13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