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16685">
      <w:pPr>
        <w:spacing w:line="540" w:lineRule="exact"/>
        <w:jc w:val="left"/>
        <w:rPr>
          <w:rFonts w:ascii="Times New Roman" w:hAnsi="Times New Roman" w:eastAsia="方正黑体简体"/>
          <w:sz w:val="32"/>
          <w:szCs w:val="32"/>
        </w:rPr>
      </w:pPr>
      <w:bookmarkStart w:id="0" w:name="_GoBack"/>
      <w:r>
        <w:rPr>
          <w:rFonts w:ascii="Times New Roman" w:hAnsi="Times New Roman" w:eastAsia="方正黑体简体"/>
          <w:sz w:val="32"/>
          <w:szCs w:val="32"/>
        </w:rPr>
        <w:t>附件1</w:t>
      </w:r>
    </w:p>
    <w:bookmarkEnd w:id="0"/>
    <w:p w14:paraId="37F90014">
      <w:pPr>
        <w:spacing w:line="540" w:lineRule="exact"/>
        <w:jc w:val="center"/>
        <w:rPr>
          <w:rFonts w:ascii="方正小标宋简体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公司情况及业务概况</w:t>
      </w:r>
    </w:p>
    <w:p w14:paraId="585DB1B3">
      <w:pPr>
        <w:spacing w:line="54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 w14:paraId="4D0B7887">
      <w:pPr>
        <w:pStyle w:val="6"/>
        <w:numPr>
          <w:ilvl w:val="0"/>
          <w:numId w:val="1"/>
        </w:numPr>
        <w:spacing w:line="540" w:lineRule="exact"/>
        <w:ind w:firstLineChars="0"/>
        <w:rPr>
          <w:rFonts w:ascii="方正黑体简体" w:hAnsi="Times New Roman" w:eastAsia="方正黑体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公司经营管理基本情况</w:t>
      </w:r>
    </w:p>
    <w:p w14:paraId="1EF2B4CE">
      <w:pPr>
        <w:spacing w:line="540" w:lineRule="exact"/>
        <w:ind w:firstLine="640" w:firstLineChars="200"/>
        <w:rPr>
          <w:rFonts w:ascii="方正楷体简体" w:hAnsi="Times New Roman" w:eastAsia="方正楷体简体"/>
          <w:bCs/>
          <w:sz w:val="32"/>
          <w:szCs w:val="32"/>
        </w:rPr>
      </w:pPr>
      <w:r>
        <w:rPr>
          <w:rFonts w:hint="eastAsia" w:ascii="方正楷体简体" w:hAnsi="Times New Roman" w:eastAsia="方正楷体简体"/>
          <w:bCs/>
          <w:sz w:val="32"/>
          <w:szCs w:val="32"/>
        </w:rPr>
        <w:t>（一）公司组建及人员情况</w:t>
      </w:r>
    </w:p>
    <w:p w14:paraId="58372040">
      <w:pPr>
        <w:spacing w:line="540" w:lineRule="exact"/>
        <w:ind w:firstLine="62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  <w:t>广汉市广睿商贸有限</w:t>
      </w:r>
      <w:r>
        <w:rPr>
          <w:rFonts w:ascii="Times New Roman" w:hAnsi="Times New Roman" w:eastAsia="方正仿宋简体"/>
          <w:sz w:val="32"/>
          <w:szCs w:val="32"/>
        </w:rPr>
        <w:t>公司成立于202</w:t>
      </w:r>
      <w:r>
        <w:rPr>
          <w:rFonts w:hint="eastAsia" w:ascii="Times New Roman" w:hAnsi="Times New Roman" w:eastAsia="方正仿宋简体"/>
          <w:sz w:val="32"/>
          <w:szCs w:val="32"/>
        </w:rPr>
        <w:t>4</w:t>
      </w:r>
      <w:r>
        <w:rPr>
          <w:rFonts w:ascii="Times New Roman" w:hAnsi="Times New Roman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sz w:val="32"/>
          <w:szCs w:val="32"/>
        </w:rPr>
        <w:t>2</w:t>
      </w:r>
      <w:r>
        <w:rPr>
          <w:rFonts w:ascii="Times New Roman" w:hAnsi="Times New Roman" w:eastAsia="方正仿宋简体"/>
          <w:sz w:val="32"/>
          <w:szCs w:val="32"/>
        </w:rPr>
        <w:t>月，注册资本</w:t>
      </w:r>
      <w:r>
        <w:rPr>
          <w:rFonts w:hint="eastAsia" w:ascii="Times New Roman" w:hAnsi="Times New Roman" w:eastAsia="方正仿宋简体"/>
          <w:sz w:val="32"/>
          <w:szCs w:val="32"/>
        </w:rPr>
        <w:t>500</w:t>
      </w:r>
      <w:r>
        <w:rPr>
          <w:rFonts w:ascii="Times New Roman" w:hAnsi="Times New Roman" w:eastAsia="方正仿宋简体"/>
          <w:sz w:val="32"/>
          <w:szCs w:val="32"/>
        </w:rPr>
        <w:t>万元。主要经营性业务：</w:t>
      </w:r>
      <w:r>
        <w:rPr>
          <w:rFonts w:hint="eastAsia" w:ascii="Times New Roman" w:hAnsi="Times New Roman" w:eastAsia="方正仿宋简体"/>
          <w:sz w:val="32"/>
          <w:szCs w:val="32"/>
        </w:rPr>
        <w:t>食材配送</w:t>
      </w:r>
      <w:r>
        <w:rPr>
          <w:rFonts w:ascii="Times New Roman" w:hAnsi="Times New Roman" w:eastAsia="方正仿宋简体"/>
          <w:sz w:val="32"/>
          <w:szCs w:val="32"/>
        </w:rPr>
        <w:t>服务、</w:t>
      </w:r>
      <w:r>
        <w:rPr>
          <w:rFonts w:hint="eastAsia" w:ascii="Times New Roman" w:hAnsi="Times New Roman" w:eastAsia="方正仿宋简体"/>
          <w:sz w:val="32"/>
          <w:szCs w:val="32"/>
        </w:rPr>
        <w:t>购物卡业务、超市合作</w:t>
      </w:r>
      <w:r>
        <w:rPr>
          <w:rFonts w:ascii="Times New Roman" w:hAnsi="Times New Roman" w:eastAsia="方正仿宋简体"/>
          <w:sz w:val="32"/>
          <w:szCs w:val="32"/>
        </w:rPr>
        <w:t>服务等。具体情况如下：</w:t>
      </w:r>
    </w:p>
    <w:p w14:paraId="45E4B3CA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截止2024年12月31日，</w:t>
      </w:r>
      <w:r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  <w:t>广睿商贸</w:t>
      </w:r>
      <w:r>
        <w:rPr>
          <w:rFonts w:hint="eastAsia" w:ascii="Times New Roman" w:hAnsi="Times New Roman" w:eastAsia="方正仿宋简体"/>
          <w:sz w:val="32"/>
          <w:szCs w:val="32"/>
        </w:rPr>
        <w:t>公司在职员工共计19名，劳务人员3名。</w:t>
      </w:r>
      <w:r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  <w:t>广睿商贸</w:t>
      </w:r>
      <w:r>
        <w:rPr>
          <w:rFonts w:hint="eastAsia" w:ascii="Times New Roman" w:hAnsi="Times New Roman" w:eastAsia="方正仿宋简体"/>
          <w:sz w:val="32"/>
          <w:szCs w:val="32"/>
        </w:rPr>
        <w:t>公司本部高层管理人员2名，中层管理人员1名，基层员工13名，劳务派遣人员3名。</w:t>
      </w:r>
    </w:p>
    <w:p w14:paraId="700FE0AF">
      <w:pPr>
        <w:spacing w:line="540" w:lineRule="exact"/>
        <w:ind w:firstLine="640" w:firstLineChars="200"/>
        <w:rPr>
          <w:rFonts w:ascii="方正楷体简体" w:hAnsi="Times New Roman" w:eastAsia="方正楷体简体"/>
          <w:bCs/>
          <w:sz w:val="32"/>
          <w:szCs w:val="32"/>
        </w:rPr>
      </w:pPr>
      <w:r>
        <w:rPr>
          <w:rFonts w:hint="eastAsia" w:ascii="方正楷体简体" w:hAnsi="Times New Roman" w:eastAsia="方正楷体简体"/>
          <w:bCs/>
          <w:sz w:val="32"/>
          <w:szCs w:val="32"/>
        </w:rPr>
        <w:t>（二）</w:t>
      </w:r>
      <w:r>
        <w:rPr>
          <w:rFonts w:ascii="方正楷体简体" w:hAnsi="Times New Roman" w:eastAsia="方正楷体简体"/>
          <w:bCs/>
          <w:sz w:val="32"/>
          <w:szCs w:val="32"/>
        </w:rPr>
        <w:t>公司业务概况</w:t>
      </w:r>
    </w:p>
    <w:p w14:paraId="2C925B21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2022年6月至2024年12月期间，</w:t>
      </w:r>
      <w:r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  <w:t>广睿商贸</w:t>
      </w:r>
      <w:r>
        <w:rPr>
          <w:rFonts w:hint="eastAsia" w:ascii="Times New Roman" w:hAnsi="Times New Roman" w:eastAsia="方正仿宋简体"/>
          <w:sz w:val="32"/>
          <w:szCs w:val="32"/>
        </w:rPr>
        <w:t>公司</w:t>
      </w:r>
      <w:r>
        <w:rPr>
          <w:rFonts w:ascii="Times New Roman" w:hAnsi="Times New Roman" w:eastAsia="方正仿宋简体"/>
          <w:sz w:val="32"/>
          <w:szCs w:val="32"/>
        </w:rPr>
        <w:t>主要经营</w:t>
      </w:r>
      <w:r>
        <w:rPr>
          <w:rFonts w:hint="eastAsia" w:ascii="Times New Roman" w:hAnsi="Times New Roman" w:eastAsia="方正仿宋简体"/>
          <w:sz w:val="32"/>
          <w:szCs w:val="32"/>
        </w:rPr>
        <w:t>对大型酒店、食堂、学校承接食材配送业务</w:t>
      </w:r>
      <w:r>
        <w:rPr>
          <w:rFonts w:ascii="Times New Roman" w:hAnsi="Times New Roman" w:eastAsia="方正仿宋简体"/>
          <w:sz w:val="32"/>
          <w:szCs w:val="32"/>
        </w:rPr>
        <w:t>。具体情况如下：</w:t>
      </w:r>
    </w:p>
    <w:p w14:paraId="4228DAFD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1、食材配送业务</w:t>
      </w:r>
    </w:p>
    <w:p w14:paraId="06C9E929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公司主要面向学校、食堂、大中型餐饮酒店开展生鲜食材集中配送服务，配送品类涵盖粮油米面、鲜肉水产、蔬菜水果、调味副食等全品类物资；业务全链条包含上游供应商的集采、仓储分拣、短途冷链配送、到货验收、定期对账结算等环节，依据合作单位月度用餐需求分批供货，按实结算配送货款，为合作学校、食堂、酒店提供常态化食材保供服务。</w:t>
      </w:r>
    </w:p>
    <w:p w14:paraId="6A0B7390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2、购物卡相关业务</w:t>
      </w:r>
    </w:p>
    <w:p w14:paraId="2976F483">
      <w:pPr>
        <w:spacing w:line="54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受托购物卡代购：接受各委托单位申请，统一对接连锁商超批量采购商超预付购物卡，按委托方需求完成发卡、交付手续，收取对应购卡资金；</w:t>
      </w:r>
    </w:p>
    <w:p w14:paraId="182CE5BF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3、商超合作业务：依托与合作超市的签约合作关系，利用商贸主体资质协助合作方办理资金往来结算、票据开具等配套业务。</w:t>
      </w:r>
    </w:p>
    <w:p w14:paraId="601B7235">
      <w:pPr>
        <w:spacing w:line="540" w:lineRule="exact"/>
        <w:ind w:firstLine="640" w:firstLineChars="200"/>
        <w:rPr>
          <w:rFonts w:ascii="方正楷体简体" w:hAnsi="Times New Roman" w:eastAsia="方正楷体简体"/>
          <w:bCs/>
          <w:sz w:val="32"/>
          <w:szCs w:val="32"/>
        </w:rPr>
      </w:pPr>
      <w:r>
        <w:rPr>
          <w:rFonts w:hint="eastAsia" w:ascii="方正楷体简体" w:hAnsi="Times New Roman" w:eastAsia="方正楷体简体"/>
          <w:bCs/>
          <w:sz w:val="32"/>
          <w:szCs w:val="32"/>
        </w:rPr>
        <w:t>（三）</w:t>
      </w:r>
      <w:r>
        <w:rPr>
          <w:rFonts w:ascii="方正楷体简体" w:hAnsi="Times New Roman" w:eastAsia="方正楷体简体"/>
          <w:bCs/>
          <w:sz w:val="32"/>
          <w:szCs w:val="32"/>
        </w:rPr>
        <w:t>各年</w:t>
      </w:r>
      <w:r>
        <w:rPr>
          <w:rFonts w:hint="eastAsia" w:ascii="方正楷体简体" w:hAnsi="Times New Roman" w:eastAsia="方正楷体简体"/>
          <w:bCs/>
          <w:sz w:val="32"/>
          <w:szCs w:val="32"/>
        </w:rPr>
        <w:t>账面</w:t>
      </w:r>
      <w:r>
        <w:rPr>
          <w:rFonts w:ascii="方正楷体简体" w:hAnsi="Times New Roman" w:eastAsia="方正楷体简体"/>
          <w:bCs/>
          <w:sz w:val="32"/>
          <w:szCs w:val="32"/>
        </w:rPr>
        <w:t>收支情况</w:t>
      </w:r>
    </w:p>
    <w:p w14:paraId="6619F441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2024年，</w:t>
      </w:r>
      <w:r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  <w:t>广睿商贸</w:t>
      </w:r>
      <w:r>
        <w:rPr>
          <w:rFonts w:hint="eastAsia" w:ascii="Times New Roman" w:hAnsi="Times New Roman" w:eastAsia="方正仿宋简体"/>
          <w:sz w:val="32"/>
          <w:szCs w:val="32"/>
        </w:rPr>
        <w:t>公司的经营性收入约为3000万元；2025年，</w:t>
      </w:r>
      <w:r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  <w:t>广睿商贸</w:t>
      </w:r>
      <w:r>
        <w:rPr>
          <w:rFonts w:hint="eastAsia" w:ascii="Times New Roman" w:hAnsi="Times New Roman" w:eastAsia="方正仿宋简体"/>
          <w:sz w:val="32"/>
          <w:szCs w:val="32"/>
        </w:rPr>
        <w:t>公司的经营性收入约为2500万元。</w:t>
      </w:r>
    </w:p>
    <w:p w14:paraId="67ABB219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26EE2501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549D9746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5E93B95B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7D05503F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00081F3A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39BE8957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7C64B554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7793915B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7BEEA671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1CD9CFA1">
      <w:pPr>
        <w:spacing w:line="54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</w:p>
    <w:p w14:paraId="0B8FE4E7">
      <w:pPr>
        <w:spacing w:line="54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</w:p>
    <w:p w14:paraId="043225A8">
      <w:pPr>
        <w:spacing w:line="540" w:lineRule="exact"/>
        <w:rPr>
          <w:rFonts w:ascii="Times New Roman" w:hAnsi="Times New Roman" w:eastAsia="方正仿宋简体"/>
          <w:kern w:val="0"/>
          <w:sz w:val="31"/>
          <w:szCs w:val="31"/>
        </w:rPr>
      </w:pPr>
    </w:p>
    <w:p w14:paraId="0B01A7A5"/>
    <w:sectPr>
      <w:footerReference r:id="rId5" w:type="default"/>
      <w:pgSz w:w="11906" w:h="16838"/>
      <w:pgMar w:top="2098" w:right="1588" w:bottom="1588" w:left="1588" w:header="2098" w:footer="158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890D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0868BE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868BE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44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677A9"/>
    <w:multiLevelType w:val="multilevel"/>
    <w:tmpl w:val="792677A9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ascii="黑体" w:hAnsi="黑体" w:eastAsia="黑体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41985"/>
    <w:rsid w:val="5844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99"/>
    <w:pPr>
      <w:spacing w:line="240" w:lineRule="auto"/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2026-06-03T08:19:00Z</dcterms:created>
  <dc:creator>末未</dc:creator>
  <cp:lastModifiedBy>末未</cp:lastModifiedBy>
  <dcterms:modified xsi:type="dcterms:W3CDTF">2026-06-04T00:45:13Z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D55FABFBBBE14CA48CA5D32C87EFAAFE_11</vt:lpwstr>
  </property>
  <property fmtid="{D5CDD505-2E9C-101B-9397-08002B2CF9AE}" pid="4" name="KSOTemplateDocerSaveRecord">
    <vt:lpwstr>eyJoZGlkIjoiMWE5OGNmZWRmZmZlNTc2YmZjMjI2ZDBmMWRmMjMxYjMiLCJ1c2VySWQiOiI3NDg0NDk2ODQifQ==</vt:lpwstr>
  </property>
</Properties>
</file>