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7F1C">
      <w:pPr>
        <w:pStyle w:val="2"/>
        <w:spacing w:before="100" w:line="224" w:lineRule="auto"/>
        <w:rPr>
          <w:rFonts w:hint="eastAsia" w:eastAsia="宋体"/>
          <w:color w:val="auto"/>
          <w:lang w:val="en-US" w:eastAsia="zh-CN"/>
        </w:rPr>
      </w:pPr>
      <w:r>
        <w:rPr>
          <w:b/>
          <w:bCs/>
          <w:color w:val="auto"/>
          <w:spacing w:val="-12"/>
        </w:rPr>
        <w:t>附件</w:t>
      </w:r>
      <w:r>
        <w:rPr>
          <w:rFonts w:hint="eastAsia"/>
          <w:b/>
          <w:bCs/>
          <w:color w:val="auto"/>
          <w:spacing w:val="-12"/>
          <w:lang w:val="en-US" w:eastAsia="zh-CN"/>
        </w:rPr>
        <w:t>1：</w:t>
      </w:r>
    </w:p>
    <w:p w14:paraId="7DC2289F">
      <w:pPr>
        <w:keepNext w:val="0"/>
        <w:keepLines w:val="0"/>
        <w:pageBreakBefore w:val="0"/>
        <w:wordWrap/>
        <w:overflowPunct/>
        <w:topLinePunct w:val="0"/>
        <w:bidi w:val="0"/>
        <w:spacing w:before="318" w:line="500" w:lineRule="exact"/>
        <w:ind w:left="3703"/>
        <w:rPr>
          <w:rFonts w:ascii="Arial"/>
          <w:color w:val="auto"/>
          <w:sz w:val="21"/>
        </w:rPr>
      </w:pPr>
      <w:r>
        <w:rPr>
          <w:rFonts w:ascii="微软雅黑" w:hAnsi="微软雅黑" w:eastAsia="微软雅黑" w:cs="微软雅黑"/>
          <w:color w:val="auto"/>
          <w:spacing w:val="-5"/>
          <w:position w:val="-2"/>
          <w:sz w:val="44"/>
          <w:szCs w:val="44"/>
        </w:rPr>
        <w:t>报价函</w:t>
      </w:r>
    </w:p>
    <w:p w14:paraId="763ED53F">
      <w:pPr>
        <w:pStyle w:val="2"/>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500" w:lineRule="exact"/>
        <w:textAlignment w:val="baseline"/>
        <w:rPr>
          <w:color w:val="auto"/>
        </w:rPr>
      </w:pPr>
      <w:r>
        <w:rPr>
          <w:rFonts w:hint="eastAsia"/>
          <w:color w:val="auto"/>
          <w:u w:val="single" w:color="auto"/>
          <w:lang w:val="en-US" w:eastAsia="zh-CN"/>
        </w:rPr>
        <w:t>广汉市弘源建设发展有限</w:t>
      </w:r>
      <w:r>
        <w:rPr>
          <w:b/>
          <w:bCs/>
          <w:color w:val="auto"/>
          <w:spacing w:val="-4"/>
        </w:rPr>
        <w:t>公司：</w:t>
      </w:r>
    </w:p>
    <w:p w14:paraId="5B2744AD">
      <w:pPr>
        <w:pStyle w:val="2"/>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before="158" w:line="500" w:lineRule="exact"/>
        <w:ind w:firstLine="665"/>
        <w:jc w:val="both"/>
        <w:textAlignment w:val="baseline"/>
        <w:rPr>
          <w:rFonts w:hint="eastAsia"/>
          <w:b/>
          <w:bCs/>
          <w:color w:val="auto"/>
          <w:lang w:val="en-US" w:eastAsia="zh-CN"/>
        </w:rPr>
      </w:pPr>
      <w:r>
        <w:rPr>
          <w:b/>
          <w:bCs/>
          <w:color w:val="auto"/>
          <w:spacing w:val="-3"/>
        </w:rPr>
        <w:t>关于</w:t>
      </w:r>
      <w:r>
        <w:rPr>
          <w:color w:val="auto"/>
          <w:spacing w:val="-145"/>
        </w:rPr>
        <w:t xml:space="preserve"> </w:t>
      </w:r>
      <w:r>
        <w:rPr>
          <w:rFonts w:hint="eastAsia"/>
          <w:color w:val="auto"/>
          <w:spacing w:val="5"/>
          <w:u w:val="single" w:color="auto"/>
          <w:lang w:eastAsia="zh-CN"/>
        </w:rPr>
        <w:t>广汉市</w:t>
      </w:r>
      <w:r>
        <w:rPr>
          <w:rFonts w:hint="eastAsia"/>
          <w:color w:val="auto"/>
          <w:spacing w:val="5"/>
          <w:u w:val="single" w:color="auto"/>
          <w:lang w:val="en-US" w:eastAsia="zh-CN"/>
        </w:rPr>
        <w:t>弘源建设</w:t>
      </w:r>
      <w:r>
        <w:rPr>
          <w:rFonts w:hint="eastAsia"/>
          <w:color w:val="auto"/>
          <w:spacing w:val="5"/>
          <w:u w:val="single" w:color="auto"/>
          <w:lang w:eastAsia="zh-CN"/>
        </w:rPr>
        <w:t>发展有限公司</w:t>
      </w:r>
      <w:r>
        <w:rPr>
          <w:rFonts w:hint="eastAsia"/>
          <w:color w:val="auto"/>
          <w:spacing w:val="5"/>
          <w:u w:val="single" w:color="auto"/>
          <w:lang w:val="en-US" w:eastAsia="zh-CN"/>
        </w:rPr>
        <w:t>采购财务融资年度咨询</w:t>
      </w:r>
      <w:r>
        <w:rPr>
          <w:rFonts w:hint="eastAsia"/>
          <w:color w:val="auto"/>
          <w:spacing w:val="5"/>
          <w:u w:val="single" w:color="auto"/>
        </w:rPr>
        <w:t>服务</w:t>
      </w:r>
      <w:r>
        <w:rPr>
          <w:rFonts w:hint="eastAsia"/>
          <w:color w:val="auto"/>
          <w:spacing w:val="5"/>
          <w:u w:val="single" w:color="auto"/>
          <w:lang w:val="en-US" w:eastAsia="zh-CN"/>
        </w:rPr>
        <w:t>调研事项</w:t>
      </w:r>
      <w:r>
        <w:rPr>
          <w:b/>
          <w:bCs/>
          <w:color w:val="auto"/>
          <w:spacing w:val="-3"/>
        </w:rPr>
        <w:t>，结合该事项的特点</w:t>
      </w:r>
      <w:r>
        <w:rPr>
          <w:b/>
          <w:bCs/>
          <w:color w:val="auto"/>
        </w:rPr>
        <w:t>及服务内容，经仔细研究决定，我方</w:t>
      </w:r>
      <w:r>
        <w:rPr>
          <w:color w:val="auto"/>
          <w:spacing w:val="27"/>
          <w:u w:val="single" w:color="auto"/>
        </w:rPr>
        <w:t xml:space="preserve">     </w:t>
      </w:r>
      <w:r>
        <w:rPr>
          <w:b/>
          <w:bCs/>
          <w:color w:val="auto"/>
          <w:u w:val="single" w:color="auto"/>
        </w:rPr>
        <w:t>（单位的名称）</w:t>
      </w:r>
      <w:r>
        <w:rPr>
          <w:rFonts w:hint="eastAsia"/>
          <w:b/>
          <w:bCs/>
          <w:color w:val="auto"/>
          <w:u w:val="single" w:color="auto"/>
          <w:lang w:val="en-US" w:eastAsia="zh-CN"/>
        </w:rPr>
        <w:t xml:space="preserve">                                 </w:t>
      </w:r>
      <w:r>
        <w:rPr>
          <w:b/>
          <w:bCs/>
          <w:color w:val="auto"/>
        </w:rPr>
        <w:t>的报价</w:t>
      </w:r>
      <w:r>
        <w:rPr>
          <w:rFonts w:hint="eastAsia"/>
          <w:b/>
          <w:bCs/>
          <w:color w:val="auto"/>
          <w:lang w:val="en-US" w:eastAsia="zh-CN"/>
        </w:rPr>
        <w:t>详见下表：</w:t>
      </w:r>
    </w:p>
    <w:p w14:paraId="598D2761">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firstLine="311" w:firstLineChars="100"/>
        <w:jc w:val="both"/>
        <w:rPr>
          <w:rFonts w:hint="eastAsia"/>
          <w:b/>
          <w:bCs/>
          <w:color w:val="auto"/>
          <w:lang w:val="en-US" w:eastAsia="zh-CN"/>
        </w:rPr>
      </w:pPr>
      <w:r>
        <w:rPr>
          <w:rFonts w:hint="eastAsia"/>
          <w:b/>
          <w:bCs/>
          <w:color w:val="auto"/>
          <w:lang w:val="en-US" w:eastAsia="zh-CN"/>
        </w:rPr>
        <w:t>财务咨询报告书按照融资公司财务报表的资产总额标的计价。</w:t>
      </w:r>
    </w:p>
    <w:p w14:paraId="52881F81">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eastAsia"/>
          <w:b/>
          <w:bCs/>
          <w:color w:val="FF0000"/>
          <w:sz w:val="31"/>
          <w:szCs w:val="31"/>
          <w:u w:val="single"/>
          <w:lang w:val="en-US" w:eastAsia="zh-CN"/>
        </w:rPr>
      </w:pPr>
      <w:r>
        <w:rPr>
          <w:rFonts w:hint="eastAsia" w:ascii="仿宋" w:hAnsi="仿宋" w:eastAsia="仿宋" w:cs="仿宋"/>
          <w:b/>
          <w:bCs/>
          <w:color w:val="auto"/>
          <w:sz w:val="31"/>
          <w:szCs w:val="31"/>
          <w:lang w:val="en-US" w:eastAsia="zh-CN"/>
        </w:rPr>
        <w:t>收费标准具体</w:t>
      </w:r>
      <w:r>
        <w:rPr>
          <w:rFonts w:hint="eastAsia" w:ascii="仿宋" w:hAnsi="仿宋" w:eastAsia="仿宋" w:cs="仿宋"/>
          <w:b/>
          <w:bCs/>
          <w:color w:val="auto"/>
          <w:sz w:val="31"/>
          <w:szCs w:val="31"/>
          <w:vertAlign w:val="baseline"/>
          <w:lang w:val="en-US" w:eastAsia="zh-CN"/>
        </w:rPr>
        <w:t>参照川发改价格[2013]901号文《四川省会计师事务所服务收费标准》（详见附件1-1）项目栏中财务报表审计-资产总额规定的实际取费比例（‰）下浮</w:t>
      </w:r>
      <w:r>
        <w:rPr>
          <w:rFonts w:hint="eastAsia"/>
          <w:b/>
          <w:bCs/>
          <w:color w:val="FF0000"/>
          <w:sz w:val="31"/>
          <w:szCs w:val="31"/>
          <w:u w:val="single"/>
          <w:lang w:val="en-US" w:eastAsia="zh-CN"/>
        </w:rPr>
        <w:t xml:space="preserve">              </w:t>
      </w:r>
    </w:p>
    <w:p w14:paraId="58801353">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eastAsia" w:ascii="仿宋" w:hAnsi="仿宋" w:eastAsia="仿宋" w:cs="仿宋"/>
          <w:b/>
          <w:bCs/>
          <w:snapToGrid w:val="0"/>
          <w:color w:val="auto"/>
          <w:kern w:val="0"/>
          <w:sz w:val="24"/>
          <w:szCs w:val="24"/>
          <w:vertAlign w:val="baseline"/>
          <w:lang w:val="en-US" w:eastAsia="zh-CN" w:bidi="ar-SA"/>
        </w:rPr>
      </w:pPr>
      <w:r>
        <w:rPr>
          <w:rFonts w:hint="eastAsia" w:ascii="仿宋" w:hAnsi="仿宋" w:eastAsia="仿宋" w:cs="仿宋"/>
          <w:b/>
          <w:bCs/>
          <w:snapToGrid w:val="0"/>
          <w:color w:val="auto"/>
          <w:kern w:val="0"/>
          <w:sz w:val="24"/>
          <w:szCs w:val="24"/>
          <w:vertAlign w:val="baseline"/>
          <w:lang w:val="en-US" w:eastAsia="zh-CN" w:bidi="ar-SA"/>
        </w:rPr>
        <w:t>注：</w:t>
      </w:r>
      <w:r>
        <w:rPr>
          <w:rFonts w:hint="default" w:ascii="Calibri" w:hAnsi="Calibri" w:eastAsia="仿宋" w:cs="Calibri"/>
          <w:b/>
          <w:bCs/>
          <w:snapToGrid w:val="0"/>
          <w:color w:val="auto"/>
          <w:kern w:val="0"/>
          <w:sz w:val="24"/>
          <w:szCs w:val="24"/>
          <w:vertAlign w:val="baseline"/>
          <w:lang w:val="en-US" w:eastAsia="zh-CN" w:bidi="ar-SA"/>
        </w:rPr>
        <w:t>①</w:t>
      </w:r>
      <w:r>
        <w:rPr>
          <w:rFonts w:hint="eastAsia" w:ascii="仿宋" w:hAnsi="仿宋" w:eastAsia="仿宋" w:cs="仿宋"/>
          <w:b/>
          <w:bCs/>
          <w:snapToGrid w:val="0"/>
          <w:color w:val="auto"/>
          <w:kern w:val="0"/>
          <w:sz w:val="24"/>
          <w:szCs w:val="24"/>
          <w:vertAlign w:val="baseline"/>
          <w:lang w:val="en-US" w:eastAsia="zh-CN" w:bidi="ar-SA"/>
        </w:rPr>
        <w:t>若出具财务咨询报告书，与报告书相关的融资项目涉及的与金融机构沟通及协助配合事项不计价。如：报告年度内各期间的沟通工作以及协助融资企业配合金融机构后续检查工作等。</w:t>
      </w:r>
    </w:p>
    <w:p w14:paraId="78856724">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default" w:ascii="Calibri" w:hAnsi="Calibri" w:eastAsia="仿宋" w:cs="Calibri"/>
          <w:b/>
          <w:bCs/>
          <w:snapToGrid w:val="0"/>
          <w:color w:val="auto"/>
          <w:kern w:val="0"/>
          <w:sz w:val="24"/>
          <w:szCs w:val="24"/>
          <w:highlight w:val="none"/>
          <w:vertAlign w:val="baseline"/>
          <w:lang w:val="en-US" w:eastAsia="zh-CN" w:bidi="ar-SA"/>
        </w:rPr>
      </w:pPr>
      <w:r>
        <w:rPr>
          <w:rFonts w:hint="default" w:ascii="Calibri" w:hAnsi="Calibri" w:eastAsia="仿宋" w:cs="Calibri"/>
          <w:b/>
          <w:bCs/>
          <w:snapToGrid w:val="0"/>
          <w:color w:val="auto"/>
          <w:kern w:val="0"/>
          <w:sz w:val="24"/>
          <w:szCs w:val="24"/>
          <w:highlight w:val="none"/>
          <w:vertAlign w:val="baseline"/>
          <w:lang w:val="en-US" w:eastAsia="zh-CN" w:bidi="ar-SA"/>
        </w:rPr>
        <w:t>②</w:t>
      </w:r>
      <w:r>
        <w:rPr>
          <w:rFonts w:hint="eastAsia" w:ascii="Calibri" w:hAnsi="Calibri" w:eastAsia="仿宋" w:cs="Calibri"/>
          <w:b/>
          <w:bCs/>
          <w:snapToGrid w:val="0"/>
          <w:color w:val="auto"/>
          <w:kern w:val="0"/>
          <w:sz w:val="24"/>
          <w:szCs w:val="24"/>
          <w:highlight w:val="none"/>
          <w:vertAlign w:val="baseline"/>
          <w:lang w:val="en-US" w:eastAsia="zh-CN" w:bidi="ar-SA"/>
        </w:rPr>
        <w:t>若单个财务咨询报告书按实际取费比例（‰）下浮后低于2000元，则按附件1-1项目栏“100万元（含）以下”中低于2000元按2000元计收。</w:t>
      </w:r>
    </w:p>
    <w:p w14:paraId="47D1F3E2">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360" w:lineRule="auto"/>
        <w:ind w:left="479" w:leftChars="228" w:firstLine="0" w:firstLineChars="0"/>
        <w:jc w:val="both"/>
        <w:textAlignment w:val="baseline"/>
        <w:rPr>
          <w:rFonts w:hint="eastAsia" w:ascii="仿宋" w:hAnsi="仿宋" w:eastAsia="仿宋" w:cs="仿宋"/>
          <w:b/>
          <w:bCs/>
          <w:snapToGrid w:val="0"/>
          <w:color w:val="auto"/>
          <w:kern w:val="0"/>
          <w:sz w:val="24"/>
          <w:szCs w:val="24"/>
          <w:highlight w:val="none"/>
          <w:vertAlign w:val="baseline"/>
          <w:lang w:val="en-US" w:eastAsia="zh-CN" w:bidi="ar-SA"/>
        </w:rPr>
      </w:pPr>
      <w:r>
        <w:rPr>
          <w:rFonts w:hint="default" w:ascii="Calibri" w:hAnsi="Calibri" w:cs="Calibri"/>
          <w:b/>
          <w:bCs/>
          <w:color w:val="auto"/>
          <w:spacing w:val="-4"/>
          <w:sz w:val="24"/>
          <w:szCs w:val="24"/>
          <w:highlight w:val="none"/>
          <w:lang w:val="en-US" w:eastAsia="zh-CN"/>
        </w:rPr>
        <w:t>③</w:t>
      </w:r>
      <w:r>
        <w:rPr>
          <w:rFonts w:hint="eastAsia" w:ascii="仿宋" w:hAnsi="仿宋" w:eastAsia="仿宋" w:cs="仿宋"/>
          <w:b/>
          <w:bCs/>
          <w:snapToGrid w:val="0"/>
          <w:color w:val="auto"/>
          <w:kern w:val="0"/>
          <w:sz w:val="24"/>
          <w:szCs w:val="24"/>
          <w:highlight w:val="none"/>
          <w:vertAlign w:val="baseline"/>
          <w:lang w:val="en-US" w:eastAsia="zh-CN" w:bidi="ar-SA"/>
        </w:rPr>
        <w:t>其他专项融资咨询服务（发行债券等金融行业相关事项除外）按专项财务咨询报告标的额，参照上述标准收费计收。</w:t>
      </w:r>
    </w:p>
    <w:p w14:paraId="567DCFAA">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360" w:lineRule="auto"/>
        <w:ind w:firstLine="481"/>
        <w:jc w:val="both"/>
        <w:textAlignment w:val="baseline"/>
        <w:rPr>
          <w:rFonts w:hint="default" w:ascii="仿宋" w:hAnsi="仿宋" w:eastAsia="仿宋" w:cs="仿宋"/>
          <w:b/>
          <w:bCs/>
          <w:snapToGrid w:val="0"/>
          <w:color w:val="auto"/>
          <w:kern w:val="0"/>
          <w:sz w:val="24"/>
          <w:szCs w:val="24"/>
          <w:vertAlign w:val="baseline"/>
          <w:lang w:val="en-US" w:eastAsia="zh-CN" w:bidi="ar-SA"/>
        </w:rPr>
      </w:pPr>
      <w:r>
        <w:rPr>
          <w:rFonts w:hint="default" w:ascii="Calibri" w:hAnsi="Calibri" w:cs="Calibri"/>
          <w:b/>
          <w:bCs/>
          <w:color w:val="auto"/>
          <w:spacing w:val="-4"/>
          <w:sz w:val="24"/>
          <w:szCs w:val="24"/>
          <w:lang w:val="en-US" w:eastAsia="zh-CN"/>
        </w:rPr>
        <w:t>④</w:t>
      </w:r>
      <w:r>
        <w:rPr>
          <w:rFonts w:hint="eastAsia" w:ascii="仿宋" w:hAnsi="仿宋" w:eastAsia="仿宋" w:cs="仿宋"/>
          <w:b/>
          <w:bCs/>
          <w:snapToGrid w:val="0"/>
          <w:color w:val="auto"/>
          <w:kern w:val="0"/>
          <w:sz w:val="24"/>
          <w:szCs w:val="24"/>
          <w:vertAlign w:val="baseline"/>
          <w:lang w:val="en-US" w:eastAsia="zh-CN" w:bidi="ar-SA"/>
        </w:rPr>
        <w:t>服务费用为计算标的对应各区间服务费用之和。</w:t>
      </w:r>
    </w:p>
    <w:p w14:paraId="00A16DD1">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79" w:leftChars="228" w:right="0" w:firstLine="0" w:firstLineChars="0"/>
        <w:jc w:val="both"/>
        <w:textAlignment w:val="baseline"/>
        <w:rPr>
          <w:rFonts w:hint="eastAsia"/>
          <w:b/>
          <w:bCs/>
          <w:color w:val="auto"/>
          <w:spacing w:val="-1"/>
          <w:sz w:val="24"/>
          <w:szCs w:val="24"/>
        </w:rPr>
      </w:pPr>
      <w:r>
        <w:rPr>
          <w:rFonts w:hint="default" w:ascii="Calibri" w:hAnsi="Calibri" w:cs="Calibri"/>
          <w:b/>
          <w:bCs/>
          <w:color w:val="auto"/>
          <w:spacing w:val="-4"/>
          <w:sz w:val="24"/>
          <w:szCs w:val="24"/>
          <w:lang w:val="en-US" w:eastAsia="zh-CN"/>
        </w:rPr>
        <w:t>⑤</w:t>
      </w:r>
      <w:r>
        <w:rPr>
          <w:rFonts w:hint="eastAsia" w:ascii="仿宋" w:hAnsi="仿宋" w:eastAsia="仿宋" w:cs="仿宋"/>
          <w:b/>
          <w:bCs/>
          <w:color w:val="auto"/>
          <w:spacing w:val="-4"/>
          <w:sz w:val="24"/>
          <w:szCs w:val="24"/>
        </w:rPr>
        <w:t>所有报价均用人民币表示，该费用为</w:t>
      </w:r>
      <w:r>
        <w:rPr>
          <w:rFonts w:hint="eastAsia" w:ascii="仿宋" w:hAnsi="仿宋" w:eastAsia="仿宋" w:cs="仿宋"/>
          <w:b/>
          <w:bCs/>
          <w:color w:val="auto"/>
          <w:spacing w:val="-1"/>
          <w:sz w:val="24"/>
          <w:szCs w:val="24"/>
        </w:rPr>
        <w:t>固定包干</w:t>
      </w:r>
      <w:r>
        <w:rPr>
          <w:rFonts w:hint="eastAsia" w:ascii="仿宋" w:hAnsi="仿宋" w:eastAsia="仿宋" w:cs="仿宋"/>
          <w:b/>
          <w:bCs/>
          <w:color w:val="auto"/>
          <w:spacing w:val="-1"/>
          <w:sz w:val="24"/>
          <w:szCs w:val="24"/>
          <w:lang w:val="en-US" w:eastAsia="zh-CN"/>
        </w:rPr>
        <w:t>费用</w:t>
      </w:r>
      <w:r>
        <w:rPr>
          <w:rFonts w:hint="eastAsia" w:ascii="仿宋" w:hAnsi="仿宋" w:eastAsia="仿宋" w:cs="仿宋"/>
          <w:b/>
          <w:bCs/>
          <w:color w:val="auto"/>
          <w:spacing w:val="-1"/>
          <w:sz w:val="24"/>
          <w:szCs w:val="24"/>
        </w:rPr>
        <w:t>，包括但不限于人工费、材料费、差旅费（本省省内范围）、税费、利润、保险等为完成本项目约定服务的所有费用， 以及后续服务费。</w:t>
      </w:r>
    </w:p>
    <w:p w14:paraId="7532BC29">
      <w:pPr>
        <w:pStyle w:val="2"/>
        <w:keepNext w:val="0"/>
        <w:keepLines w:val="0"/>
        <w:pageBreakBefore w:val="0"/>
        <w:tabs>
          <w:tab w:val="left" w:pos="8055"/>
        </w:tabs>
        <w:wordWrap/>
        <w:overflowPunct/>
        <w:topLinePunct w:val="0"/>
        <w:bidi w:val="0"/>
        <w:spacing w:before="101" w:line="500" w:lineRule="exact"/>
        <w:ind w:left="3591" w:right="673" w:firstLine="9"/>
        <w:jc w:val="right"/>
        <w:rPr>
          <w:b/>
          <w:bCs/>
          <w:color w:val="auto"/>
          <w:spacing w:val="-6"/>
        </w:rPr>
      </w:pPr>
    </w:p>
    <w:p w14:paraId="32080812">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u w:val="single" w:color="auto"/>
        </w:rPr>
      </w:pPr>
      <w:r>
        <w:rPr>
          <w:b/>
          <w:bCs/>
          <w:color w:val="auto"/>
          <w:spacing w:val="-6"/>
        </w:rPr>
        <w:t>单位名称</w:t>
      </w:r>
      <w:r>
        <w:rPr>
          <w:b/>
          <w:bCs/>
          <w:color w:val="auto"/>
          <w:spacing w:val="-22"/>
        </w:rPr>
        <w:t>：</w:t>
      </w:r>
      <w:r>
        <w:rPr>
          <w:color w:val="auto"/>
          <w:spacing w:val="37"/>
          <w:u w:val="single" w:color="auto"/>
        </w:rPr>
        <w:t xml:space="preserve">    </w:t>
      </w:r>
      <w:r>
        <w:rPr>
          <w:b/>
          <w:bCs/>
          <w:color w:val="auto"/>
          <w:spacing w:val="-22"/>
          <w:u w:val="single" w:color="auto"/>
        </w:rPr>
        <w:t>（</w:t>
      </w:r>
      <w:r>
        <w:rPr>
          <w:b/>
          <w:bCs/>
          <w:color w:val="auto"/>
          <w:spacing w:val="-6"/>
          <w:u w:val="single" w:color="auto"/>
        </w:rPr>
        <w:t>公章）</w:t>
      </w:r>
      <w:r>
        <w:rPr>
          <w:color w:val="auto"/>
          <w:u w:val="single" w:color="auto"/>
        </w:rPr>
        <w:tab/>
      </w:r>
    </w:p>
    <w:p w14:paraId="1D37627A">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rPr>
      </w:pPr>
      <w:r>
        <w:rPr>
          <w:b/>
          <w:bCs/>
          <w:color w:val="auto"/>
          <w:spacing w:val="-14"/>
        </w:rPr>
        <w:t>联</w:t>
      </w:r>
      <w:r>
        <w:rPr>
          <w:color w:val="auto"/>
          <w:spacing w:val="48"/>
        </w:rPr>
        <w:t xml:space="preserve"> </w:t>
      </w:r>
      <w:r>
        <w:rPr>
          <w:b/>
          <w:bCs/>
          <w:color w:val="auto"/>
          <w:spacing w:val="-14"/>
        </w:rPr>
        <w:t>系</w:t>
      </w:r>
      <w:r>
        <w:rPr>
          <w:color w:val="auto"/>
          <w:spacing w:val="29"/>
        </w:rPr>
        <w:t xml:space="preserve"> </w:t>
      </w:r>
      <w:r>
        <w:rPr>
          <w:b/>
          <w:bCs/>
          <w:color w:val="auto"/>
          <w:spacing w:val="-14"/>
        </w:rPr>
        <w:t>人：</w:t>
      </w:r>
      <w:r>
        <w:rPr>
          <w:color w:val="auto"/>
          <w:u w:val="single" w:color="auto"/>
        </w:rPr>
        <w:tab/>
      </w:r>
      <w:r>
        <w:rPr>
          <w:color w:val="auto"/>
        </w:rPr>
        <w:t xml:space="preserve"> </w:t>
      </w:r>
    </w:p>
    <w:p w14:paraId="290E7806">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rPr>
      </w:pPr>
      <w:r>
        <w:rPr>
          <w:b/>
          <w:bCs/>
          <w:color w:val="auto"/>
          <w:spacing w:val="3"/>
        </w:rPr>
        <w:t>联系电话：</w:t>
      </w:r>
      <w:r>
        <w:rPr>
          <w:color w:val="auto"/>
          <w:u w:val="single" w:color="auto"/>
        </w:rPr>
        <w:tab/>
      </w:r>
      <w:r>
        <w:rPr>
          <w:color w:val="auto"/>
        </w:rPr>
        <w:t xml:space="preserve"> </w:t>
      </w:r>
    </w:p>
    <w:p w14:paraId="71DE7970">
      <w:pPr>
        <w:pStyle w:val="2"/>
        <w:keepNext w:val="0"/>
        <w:keepLines w:val="0"/>
        <w:pageBreakBefore w:val="0"/>
        <w:tabs>
          <w:tab w:val="left" w:pos="8055"/>
        </w:tabs>
        <w:wordWrap/>
        <w:overflowPunct/>
        <w:topLinePunct w:val="0"/>
        <w:bidi w:val="0"/>
        <w:spacing w:before="101" w:line="500" w:lineRule="exact"/>
        <w:ind w:left="3591" w:right="673" w:firstLine="9"/>
        <w:jc w:val="right"/>
        <w:rPr>
          <w:rFonts w:hint="eastAsia"/>
          <w:b/>
          <w:bCs/>
          <w:color w:val="auto"/>
          <w:spacing w:val="-12"/>
          <w:lang w:val="en-US" w:eastAsia="zh-CN"/>
        </w:rPr>
      </w:pPr>
      <w:r>
        <w:rPr>
          <w:b/>
          <w:bCs/>
          <w:color w:val="auto"/>
          <w:spacing w:val="-25"/>
        </w:rPr>
        <w:t>日</w:t>
      </w:r>
      <w:r>
        <w:rPr>
          <w:color w:val="auto"/>
          <w:spacing w:val="13"/>
        </w:rPr>
        <w:t xml:space="preserve">  </w:t>
      </w:r>
      <w:r>
        <w:rPr>
          <w:rFonts w:hint="eastAsia"/>
          <w:color w:val="auto"/>
          <w:spacing w:val="13"/>
          <w:lang w:val="en-US" w:eastAsia="zh-CN"/>
        </w:rPr>
        <w:t xml:space="preserve"> </w:t>
      </w:r>
      <w:r>
        <w:rPr>
          <w:color w:val="auto"/>
          <w:spacing w:val="13"/>
        </w:rPr>
        <w:t xml:space="preserve"> </w:t>
      </w:r>
      <w:r>
        <w:rPr>
          <w:b/>
          <w:bCs/>
          <w:color w:val="auto"/>
          <w:spacing w:val="-25"/>
        </w:rPr>
        <w:t>期：</w:t>
      </w:r>
      <w:r>
        <w:rPr>
          <w:color w:val="auto"/>
          <w:spacing w:val="5"/>
          <w:u w:val="single" w:color="auto"/>
        </w:rPr>
        <w:t xml:space="preserve">     </w:t>
      </w:r>
      <w:r>
        <w:rPr>
          <w:color w:val="auto"/>
          <w:spacing w:val="-136"/>
        </w:rPr>
        <w:t xml:space="preserve"> </w:t>
      </w:r>
      <w:r>
        <w:rPr>
          <w:b/>
          <w:bCs/>
          <w:color w:val="auto"/>
          <w:spacing w:val="-25"/>
        </w:rPr>
        <w:t>年</w:t>
      </w:r>
      <w:r>
        <w:rPr>
          <w:color w:val="auto"/>
          <w:spacing w:val="-155"/>
        </w:rPr>
        <w:t xml:space="preserve"> </w:t>
      </w:r>
      <w:r>
        <w:rPr>
          <w:color w:val="auto"/>
          <w:spacing w:val="5"/>
          <w:u w:val="single" w:color="auto"/>
        </w:rPr>
        <w:t xml:space="preserve">  </w:t>
      </w:r>
      <w:r>
        <w:rPr>
          <w:color w:val="auto"/>
          <w:spacing w:val="-125"/>
        </w:rPr>
        <w:t xml:space="preserve"> </w:t>
      </w:r>
      <w:r>
        <w:rPr>
          <w:b/>
          <w:bCs/>
          <w:color w:val="auto"/>
          <w:spacing w:val="-25"/>
        </w:rPr>
        <w:t>月</w:t>
      </w:r>
      <w:r>
        <w:rPr>
          <w:color w:val="auto"/>
          <w:spacing w:val="-153"/>
        </w:rPr>
        <w:t xml:space="preserve"> </w:t>
      </w:r>
      <w:r>
        <w:rPr>
          <w:color w:val="auto"/>
          <w:spacing w:val="5"/>
          <w:u w:val="single" w:color="auto"/>
        </w:rPr>
        <w:t xml:space="preserve">  </w:t>
      </w:r>
      <w:r>
        <w:rPr>
          <w:b/>
          <w:bCs/>
          <w:color w:val="auto"/>
          <w:spacing w:val="-25"/>
        </w:rPr>
        <w:t>日</w:t>
      </w:r>
      <w:bookmarkStart w:id="0" w:name="_GoBack"/>
      <w:bookmarkEnd w:id="0"/>
    </w:p>
    <w:p w14:paraId="37865B2B">
      <w:pPr>
        <w:pStyle w:val="2"/>
        <w:spacing w:before="100" w:line="224" w:lineRule="auto"/>
        <w:rPr>
          <w:rFonts w:hint="eastAsia"/>
          <w:b/>
          <w:bCs/>
          <w:color w:val="auto"/>
          <w:spacing w:val="-12"/>
          <w:lang w:val="en-US" w:eastAsia="zh-CN"/>
        </w:rPr>
      </w:pPr>
      <w:r>
        <w:rPr>
          <w:rFonts w:hint="eastAsia"/>
          <w:b/>
          <w:bCs/>
          <w:color w:val="auto"/>
          <w:spacing w:val="-12"/>
          <w:lang w:val="en-US" w:eastAsia="zh-CN"/>
        </w:rPr>
        <w:t>附件1-1：</w:t>
      </w:r>
    </w:p>
    <w:p w14:paraId="45FDF9D3">
      <w:pPr>
        <w:pStyle w:val="2"/>
        <w:spacing w:before="100" w:line="224" w:lineRule="auto"/>
        <w:rPr>
          <w:rFonts w:hint="default"/>
          <w:b/>
          <w:bCs/>
          <w:color w:val="auto"/>
          <w:spacing w:val="-12"/>
          <w:lang w:val="en-US" w:eastAsia="zh-CN"/>
        </w:rPr>
      </w:pPr>
      <w:r>
        <w:rPr>
          <w:rFonts w:hint="default"/>
          <w:b/>
          <w:bCs/>
          <w:color w:val="auto"/>
          <w:spacing w:val="-12"/>
          <w:lang w:val="en-US" w:eastAsia="zh-CN"/>
        </w:rPr>
        <w:drawing>
          <wp:inline distT="0" distB="0" distL="114300" distR="114300">
            <wp:extent cx="6490335" cy="4579620"/>
            <wp:effectExtent l="0" t="0" r="5715" b="11430"/>
            <wp:docPr id="1" name="图片 1" descr="四川省会计师事务所服务收费标准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四川省会计师事务所服务收费标准_01"/>
                    <pic:cNvPicPr>
                      <a:picLocks noChangeAspect="1"/>
                    </pic:cNvPicPr>
                  </pic:nvPicPr>
                  <pic:blipFill>
                    <a:blip r:embed="rId6"/>
                    <a:stretch>
                      <a:fillRect/>
                    </a:stretch>
                  </pic:blipFill>
                  <pic:spPr>
                    <a:xfrm>
                      <a:off x="0" y="0"/>
                      <a:ext cx="6490335" cy="4579620"/>
                    </a:xfrm>
                    <a:prstGeom prst="rect">
                      <a:avLst/>
                    </a:prstGeom>
                  </pic:spPr>
                </pic:pic>
              </a:graphicData>
            </a:graphic>
          </wp:inline>
        </w:drawing>
      </w:r>
    </w:p>
    <w:sectPr>
      <w:pgSz w:w="11907" w:h="16839"/>
      <w:pgMar w:top="760" w:right="1066" w:bottom="1043" w:left="10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E33BF"/>
    <w:rsid w:val="1DC816FA"/>
    <w:rsid w:val="219C7FEA"/>
    <w:rsid w:val="241A151F"/>
    <w:rsid w:val="271E0906"/>
    <w:rsid w:val="290470DD"/>
    <w:rsid w:val="377B6AD3"/>
    <w:rsid w:val="3B26652E"/>
    <w:rsid w:val="4B09271C"/>
    <w:rsid w:val="5F105C82"/>
    <w:rsid w:val="66463DF7"/>
    <w:rsid w:val="6A1E4943"/>
    <w:rsid w:val="6C0F1C91"/>
    <w:rsid w:val="6E0D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465</Words>
  <Characters>490</Characters>
  <Lines>0</Lines>
  <Paragraphs>0</Paragraphs>
  <TotalTime>0</TotalTime>
  <ScaleCrop>false</ScaleCrop>
  <LinksUpToDate>false</LinksUpToDate>
  <CharactersWithSpaces>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2025-04-02T03:44:00Z</dcterms:created>
  <dc:creator>Administrator</dc:creator>
  <cp:lastModifiedBy>杰伟</cp:lastModifiedBy>
  <cp:lastPrinted>2026-05-06T07:10:33Z</cp:lastPrinted>
  <dcterms:modified xsi:type="dcterms:W3CDTF">2026-05-06T07:11:14Z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eyJoZGlkIjoiYWMxNGJjYzM4ZmQwMTczN2Y0MWFhMjJmYThhOWFhMzYiLCJ1c2VySWQiOiIzMzY3NTIzNzcifQ==</vt:lpwstr>
  </property>
  <property fmtid="{D5CDD505-2E9C-101B-9397-08002B2CF9AE}" pid="4" name="ICV">
    <vt:lpwstr>BD95E45472CA40968EEFD3FF10F202D4_12</vt:lpwstr>
  </property>
</Properties>
</file>