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7640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spacing w:val="0"/>
          <w:sz w:val="32"/>
          <w:szCs w:val="32"/>
          <w:lang w:val="en-US" w:eastAsia="zh-CN"/>
        </w:rPr>
        <w:t>2</w:t>
      </w:r>
    </w:p>
    <w:p w14:paraId="52BF4BF3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供应商实地考察评估表</w:t>
      </w:r>
    </w:p>
    <w:p w14:paraId="547B1B76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供应商名称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12E8641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考察日期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4D68BC4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考察地点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  <w:bookmarkStart w:id="0" w:name="_GoBack"/>
      <w:bookmarkEnd w:id="0"/>
    </w:p>
    <w:p w14:paraId="3FFDE67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考察人员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tbl>
      <w:tblPr>
        <w:tblStyle w:val="2"/>
        <w:tblW w:w="8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1279"/>
        <w:gridCol w:w="3156"/>
        <w:gridCol w:w="1382"/>
        <w:gridCol w:w="837"/>
      </w:tblGrid>
      <w:tr w14:paraId="7E25C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EEEEEE"/>
            <w:vAlign w:val="center"/>
          </w:tcPr>
          <w:p w14:paraId="00ACFB2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考察维度</w:t>
            </w:r>
          </w:p>
        </w:tc>
        <w:tc>
          <w:tcPr>
            <w:tcW w:w="0" w:type="auto"/>
            <w:shd w:val="clear" w:color="auto" w:fill="EEEEEE"/>
            <w:vAlign w:val="center"/>
          </w:tcPr>
          <w:p w14:paraId="633A7DF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考察项目</w:t>
            </w:r>
          </w:p>
        </w:tc>
        <w:tc>
          <w:tcPr>
            <w:tcW w:w="3231" w:type="dxa"/>
            <w:shd w:val="clear" w:color="auto" w:fill="EEEEEE"/>
            <w:vAlign w:val="center"/>
          </w:tcPr>
          <w:p w14:paraId="69EBBAB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考察要点与评分标准</w:t>
            </w:r>
          </w:p>
        </w:tc>
        <w:tc>
          <w:tcPr>
            <w:tcW w:w="1409" w:type="dxa"/>
            <w:shd w:val="clear" w:color="auto" w:fill="EEEEEE"/>
            <w:vAlign w:val="center"/>
          </w:tcPr>
          <w:p w14:paraId="3E830B7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评分</w:t>
            </w:r>
          </w:p>
          <w:p w14:paraId="22DBEDA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（1-5分）</w:t>
            </w:r>
          </w:p>
        </w:tc>
        <w:tc>
          <w:tcPr>
            <w:tcW w:w="855" w:type="dxa"/>
            <w:shd w:val="clear" w:color="auto" w:fill="EEEEEE"/>
            <w:vAlign w:val="center"/>
          </w:tcPr>
          <w:p w14:paraId="38700B1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备注/问题记录</w:t>
            </w:r>
          </w:p>
        </w:tc>
      </w:tr>
      <w:tr w14:paraId="390EA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restart"/>
            <w:vAlign w:val="center"/>
          </w:tcPr>
          <w:p w14:paraId="3B3D09F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生产环境与设施</w:t>
            </w:r>
          </w:p>
          <w:p w14:paraId="52D65EA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（若适用）</w:t>
            </w:r>
          </w:p>
        </w:tc>
        <w:tc>
          <w:tcPr>
            <w:tcW w:w="0" w:type="auto"/>
            <w:vAlign w:val="center"/>
          </w:tcPr>
          <w:p w14:paraId="08CF196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厂区环境</w:t>
            </w:r>
          </w:p>
        </w:tc>
        <w:tc>
          <w:tcPr>
            <w:tcW w:w="3231" w:type="dxa"/>
            <w:vAlign w:val="center"/>
          </w:tcPr>
          <w:p w14:paraId="2A73202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厂区整洁，无污染源，布局合理，道路硬化，绿化良好。</w:t>
            </w:r>
          </w:p>
        </w:tc>
        <w:tc>
          <w:tcPr>
            <w:tcW w:w="1409" w:type="dxa"/>
            <w:vAlign w:val="center"/>
          </w:tcPr>
          <w:p w14:paraId="33D92E4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98C21D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9E20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1310C2A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ADD4F5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车间布局</w:t>
            </w:r>
          </w:p>
        </w:tc>
        <w:tc>
          <w:tcPr>
            <w:tcW w:w="3231" w:type="dxa"/>
            <w:vAlign w:val="center"/>
          </w:tcPr>
          <w:p w14:paraId="7B5F1C0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人流、物流通道分离，清洁区与非清洁区有效隔离，无交叉污染风险。</w:t>
            </w:r>
          </w:p>
        </w:tc>
        <w:tc>
          <w:tcPr>
            <w:tcW w:w="1409" w:type="dxa"/>
            <w:vAlign w:val="center"/>
          </w:tcPr>
          <w:p w14:paraId="5BE917E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BF49C1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EB60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67BEE28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43E4C6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卫生状况</w:t>
            </w:r>
          </w:p>
        </w:tc>
        <w:tc>
          <w:tcPr>
            <w:tcW w:w="3231" w:type="dxa"/>
            <w:vAlign w:val="center"/>
          </w:tcPr>
          <w:p w14:paraId="31E8321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地面、墙壁、天花板清洁无霉斑，排水通畅，无积水。</w:t>
            </w:r>
          </w:p>
        </w:tc>
        <w:tc>
          <w:tcPr>
            <w:tcW w:w="1409" w:type="dxa"/>
            <w:vAlign w:val="center"/>
          </w:tcPr>
          <w:p w14:paraId="28350BB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08FB0D9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748AC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7043BA6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6792C6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通风与温控</w:t>
            </w:r>
          </w:p>
        </w:tc>
        <w:tc>
          <w:tcPr>
            <w:tcW w:w="3231" w:type="dxa"/>
            <w:vAlign w:val="center"/>
          </w:tcPr>
          <w:p w14:paraId="4C9F6C1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车间通风良好，温湿度控制符合工艺要求（如冷藏、冷冻库）。</w:t>
            </w:r>
          </w:p>
        </w:tc>
        <w:tc>
          <w:tcPr>
            <w:tcW w:w="1409" w:type="dxa"/>
            <w:vAlign w:val="center"/>
          </w:tcPr>
          <w:p w14:paraId="3B9549A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B65A0C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250E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restart"/>
            <w:vAlign w:val="center"/>
          </w:tcPr>
          <w:p w14:paraId="1921A63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生产过程控制</w:t>
            </w:r>
          </w:p>
          <w:p w14:paraId="15F55E9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（若适用）</w:t>
            </w:r>
          </w:p>
        </w:tc>
        <w:tc>
          <w:tcPr>
            <w:tcW w:w="0" w:type="auto"/>
            <w:vAlign w:val="center"/>
          </w:tcPr>
          <w:p w14:paraId="325DC22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原料管理</w:t>
            </w:r>
          </w:p>
        </w:tc>
        <w:tc>
          <w:tcPr>
            <w:tcW w:w="3231" w:type="dxa"/>
            <w:vAlign w:val="center"/>
          </w:tcPr>
          <w:p w14:paraId="0750BDA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原料验收有标准、有记录；仓储条件（温湿度、离地离墙）符合要求；先进先出。</w:t>
            </w:r>
          </w:p>
        </w:tc>
        <w:tc>
          <w:tcPr>
            <w:tcW w:w="1409" w:type="dxa"/>
            <w:vAlign w:val="center"/>
          </w:tcPr>
          <w:p w14:paraId="750CEC8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6E80B6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6331F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51614E8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79C500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关键控制点</w:t>
            </w:r>
          </w:p>
        </w:tc>
        <w:tc>
          <w:tcPr>
            <w:tcW w:w="3231" w:type="dxa"/>
            <w:vAlign w:val="center"/>
          </w:tcPr>
          <w:p w14:paraId="3778CB7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对关键工序（如杀菌、金属探测）有明确控制标准、监控记录与纠偏措施。</w:t>
            </w:r>
          </w:p>
        </w:tc>
        <w:tc>
          <w:tcPr>
            <w:tcW w:w="1409" w:type="dxa"/>
            <w:vAlign w:val="center"/>
          </w:tcPr>
          <w:p w14:paraId="50468A8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6C227A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BB55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60E7A58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D675CE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设备与工器具</w:t>
            </w:r>
          </w:p>
        </w:tc>
        <w:tc>
          <w:tcPr>
            <w:tcW w:w="3231" w:type="dxa"/>
            <w:vAlign w:val="center"/>
          </w:tcPr>
          <w:p w14:paraId="26ABA92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设备材质符合食品级要求，清洁消毒到位，维护保养良好。</w:t>
            </w:r>
          </w:p>
        </w:tc>
        <w:tc>
          <w:tcPr>
            <w:tcW w:w="1409" w:type="dxa"/>
            <w:vAlign w:val="center"/>
          </w:tcPr>
          <w:p w14:paraId="03340DB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0F13F49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F555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2E82F05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9CBF5A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人员卫生</w:t>
            </w:r>
          </w:p>
        </w:tc>
        <w:tc>
          <w:tcPr>
            <w:tcW w:w="3231" w:type="dxa"/>
            <w:vAlign w:val="center"/>
          </w:tcPr>
          <w:p w14:paraId="07C1BF8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员工穿戴洁净工作服、帽、口罩，洗手消毒设施齐全且被正确使用。</w:t>
            </w:r>
          </w:p>
        </w:tc>
        <w:tc>
          <w:tcPr>
            <w:tcW w:w="1409" w:type="dxa"/>
            <w:vAlign w:val="center"/>
          </w:tcPr>
          <w:p w14:paraId="2AE71EA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079E5E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FBBA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restart"/>
            <w:vAlign w:val="center"/>
          </w:tcPr>
          <w:p w14:paraId="6F8464C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质量检验能力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（若适用）</w:t>
            </w:r>
          </w:p>
        </w:tc>
        <w:tc>
          <w:tcPr>
            <w:tcW w:w="0" w:type="auto"/>
            <w:vAlign w:val="center"/>
          </w:tcPr>
          <w:p w14:paraId="66A1098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实验室配置</w:t>
            </w:r>
          </w:p>
        </w:tc>
        <w:tc>
          <w:tcPr>
            <w:tcW w:w="3231" w:type="dxa"/>
            <w:vAlign w:val="center"/>
          </w:tcPr>
          <w:p w14:paraId="3EB83E7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设有独立质检室，配备必要的检验仪器（如天平、培养箱、检测试剂等）。</w:t>
            </w:r>
          </w:p>
        </w:tc>
        <w:tc>
          <w:tcPr>
            <w:tcW w:w="1409" w:type="dxa"/>
            <w:vAlign w:val="center"/>
          </w:tcPr>
          <w:p w14:paraId="2090F1E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30A531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46F9A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77376A0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FD1642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检验人员</w:t>
            </w:r>
          </w:p>
        </w:tc>
        <w:tc>
          <w:tcPr>
            <w:tcW w:w="3231" w:type="dxa"/>
            <w:vAlign w:val="center"/>
          </w:tcPr>
          <w:p w14:paraId="61C833E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质检人员具备相应资质与能力，能独立开展常规项目检验。</w:t>
            </w:r>
          </w:p>
        </w:tc>
        <w:tc>
          <w:tcPr>
            <w:tcW w:w="1409" w:type="dxa"/>
            <w:vAlign w:val="center"/>
          </w:tcPr>
          <w:p w14:paraId="1D04F7D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8F0ED8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E33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4F93ABB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298E5B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检验记录</w:t>
            </w:r>
          </w:p>
        </w:tc>
        <w:tc>
          <w:tcPr>
            <w:tcW w:w="3231" w:type="dxa"/>
            <w:vAlign w:val="center"/>
          </w:tcPr>
          <w:p w14:paraId="4A9AD08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原料、过程、成品检验记录完整、真实、可追溯。</w:t>
            </w:r>
          </w:p>
        </w:tc>
        <w:tc>
          <w:tcPr>
            <w:tcW w:w="1409" w:type="dxa"/>
            <w:vAlign w:val="center"/>
          </w:tcPr>
          <w:p w14:paraId="5825BB9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186EA8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F844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1B47DD94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3F47B3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不合格品管理</w:t>
            </w:r>
          </w:p>
        </w:tc>
        <w:tc>
          <w:tcPr>
            <w:tcW w:w="3231" w:type="dxa"/>
            <w:vAlign w:val="center"/>
          </w:tcPr>
          <w:p w14:paraId="309EB7F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有明确的不合格品标识、隔离、评审与处置流程。</w:t>
            </w:r>
          </w:p>
        </w:tc>
        <w:tc>
          <w:tcPr>
            <w:tcW w:w="1409" w:type="dxa"/>
            <w:vAlign w:val="center"/>
          </w:tcPr>
          <w:p w14:paraId="0BB79BF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B40CBF4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943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restart"/>
            <w:vAlign w:val="center"/>
          </w:tcPr>
          <w:p w14:paraId="229B21D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仓储与物流</w:t>
            </w:r>
          </w:p>
          <w:p w14:paraId="56C082A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（若适用）</w:t>
            </w:r>
          </w:p>
        </w:tc>
        <w:tc>
          <w:tcPr>
            <w:tcW w:w="0" w:type="auto"/>
            <w:vAlign w:val="center"/>
          </w:tcPr>
          <w:p w14:paraId="44471A7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成品仓库</w:t>
            </w:r>
          </w:p>
        </w:tc>
        <w:tc>
          <w:tcPr>
            <w:tcW w:w="3231" w:type="dxa"/>
            <w:vAlign w:val="center"/>
          </w:tcPr>
          <w:p w14:paraId="71A811B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仓库整洁，分区明确（待检、合格、不合格），温湿度监控记录完整。</w:t>
            </w:r>
          </w:p>
        </w:tc>
        <w:tc>
          <w:tcPr>
            <w:tcW w:w="1409" w:type="dxa"/>
            <w:vAlign w:val="center"/>
          </w:tcPr>
          <w:p w14:paraId="4239FB5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95B8E2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5D12A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519D837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8D5F0C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冷链管理</w:t>
            </w:r>
          </w:p>
        </w:tc>
        <w:tc>
          <w:tcPr>
            <w:tcW w:w="3231" w:type="dxa"/>
            <w:vAlign w:val="center"/>
          </w:tcPr>
          <w:p w14:paraId="42528A2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冷藏/冷冻车温度监控设备有效，运输过程温度记录可追溯。</w:t>
            </w:r>
          </w:p>
        </w:tc>
        <w:tc>
          <w:tcPr>
            <w:tcW w:w="1409" w:type="dxa"/>
            <w:vAlign w:val="center"/>
          </w:tcPr>
          <w:p w14:paraId="71C1510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A00C7B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5E312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6FFABA8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8F669A4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发货管理</w:t>
            </w:r>
          </w:p>
        </w:tc>
        <w:tc>
          <w:tcPr>
            <w:tcW w:w="3231" w:type="dxa"/>
            <w:vAlign w:val="center"/>
          </w:tcPr>
          <w:p w14:paraId="1E0B719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发货核对流程严谨，确保产品批号、数量、状态准确无误。</w:t>
            </w:r>
          </w:p>
        </w:tc>
        <w:tc>
          <w:tcPr>
            <w:tcW w:w="1409" w:type="dxa"/>
            <w:vAlign w:val="center"/>
          </w:tcPr>
          <w:p w14:paraId="549014FE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CE2232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3F4C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restart"/>
            <w:vAlign w:val="center"/>
          </w:tcPr>
          <w:p w14:paraId="45E7A6A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综合管理</w:t>
            </w:r>
          </w:p>
          <w:p w14:paraId="5586F6FB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（若适用）</w:t>
            </w:r>
          </w:p>
        </w:tc>
        <w:tc>
          <w:tcPr>
            <w:tcW w:w="0" w:type="auto"/>
            <w:vAlign w:val="center"/>
          </w:tcPr>
          <w:p w14:paraId="31D1B68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追溯体系</w:t>
            </w:r>
          </w:p>
        </w:tc>
        <w:tc>
          <w:tcPr>
            <w:tcW w:w="3231" w:type="dxa"/>
            <w:vAlign w:val="center"/>
          </w:tcPr>
          <w:p w14:paraId="05E1F3E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能从成品追溯到原料批次、生产记录、检验报告，信息链完整。</w:t>
            </w:r>
          </w:p>
        </w:tc>
        <w:tc>
          <w:tcPr>
            <w:tcW w:w="1409" w:type="dxa"/>
            <w:vAlign w:val="center"/>
          </w:tcPr>
          <w:p w14:paraId="36EF40D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ADC69B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29F2D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4F617112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A4226D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培训记录</w:t>
            </w:r>
          </w:p>
        </w:tc>
        <w:tc>
          <w:tcPr>
            <w:tcW w:w="3231" w:type="dxa"/>
            <w:vAlign w:val="center"/>
          </w:tcPr>
          <w:p w14:paraId="2D689E3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员工（尤其关键岗位）有定期的食品安全与操作规范培训记录。</w:t>
            </w:r>
          </w:p>
        </w:tc>
        <w:tc>
          <w:tcPr>
            <w:tcW w:w="1409" w:type="dxa"/>
            <w:vAlign w:val="center"/>
          </w:tcPr>
          <w:p w14:paraId="1A10E7E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B5B8A74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6DDFE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05" w:type="dxa"/>
            <w:vMerge w:val="continue"/>
            <w:vAlign w:val="center"/>
          </w:tcPr>
          <w:p w14:paraId="4E97B2B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972BF6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应急预案</w:t>
            </w:r>
          </w:p>
        </w:tc>
        <w:tc>
          <w:tcPr>
            <w:tcW w:w="3231" w:type="dxa"/>
            <w:vAlign w:val="center"/>
          </w:tcPr>
          <w:p w14:paraId="27D9551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有应对食品安全事故、停水停电等突发事件的应急预案。</w:t>
            </w:r>
          </w:p>
        </w:tc>
        <w:tc>
          <w:tcPr>
            <w:tcW w:w="1409" w:type="dxa"/>
            <w:vAlign w:val="center"/>
          </w:tcPr>
          <w:p w14:paraId="4DA6DDA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FF22A1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6453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21" w:type="dxa"/>
            <w:gridSpan w:val="2"/>
            <w:vAlign w:val="center"/>
          </w:tcPr>
          <w:p w14:paraId="7B4BE4C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总体评价与建议</w:t>
            </w:r>
          </w:p>
        </w:tc>
        <w:tc>
          <w:tcPr>
            <w:tcW w:w="3231" w:type="dxa"/>
            <w:vAlign w:val="center"/>
          </w:tcPr>
          <w:p w14:paraId="31A3A3D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总分</w:t>
            </w: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：</w:t>
            </w:r>
          </w:p>
        </w:tc>
        <w:tc>
          <w:tcPr>
            <w:tcW w:w="1409" w:type="dxa"/>
            <w:vAlign w:val="center"/>
          </w:tcPr>
          <w:p w14:paraId="4911B90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评价等级</w:t>
            </w: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：优秀/良好/合格/不合格</w:t>
            </w:r>
          </w:p>
        </w:tc>
        <w:tc>
          <w:tcPr>
            <w:tcW w:w="855" w:type="dxa"/>
            <w:vAlign w:val="center"/>
          </w:tcPr>
          <w:p w14:paraId="7AAE7C1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</w:pPr>
          </w:p>
        </w:tc>
      </w:tr>
    </w:tbl>
    <w:p w14:paraId="2E7DB6C8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考察结论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03FEA65D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</w:p>
    <w:p w14:paraId="21DF52CF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考察人员签字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46E71693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</w:p>
    <w:p w14:paraId="1A5273D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供应商代表签字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76981EF0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0E70F47B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2CC28A3C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451474F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备注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2383159E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评分标准：5分=优秀（完全符合且超出预期）；4分=良好（基本符合，有少量轻微问题）；3分=合格（基本符合，有需要改进的一般问题）；2分=较差（存在明显不符合项，需限期整改）；1分=差（存在严重不符合项，影响合作）。</w:t>
      </w:r>
    </w:p>
    <w:p w14:paraId="6AF998FB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考察中发现的重大问题或风险点，请在“备注/问题记录”栏详细说明，并拍照留存证据。</w:t>
      </w:r>
    </w:p>
    <w:p w14:paraId="6D9D9B14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</w:p>
    <w:p w14:paraId="18AF53F5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3D0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2D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YTc2MTc1OWIxMWRjMTk5ZWYwMDIyNGFkOTE2NTgyNTkifQ=="/>
  </w:docVars>
  <w:rsids>
    <w:rsidRoot w:val="00000000"/>
    <w:rsid w:val="0CAA0710"/>
    <w:rsid w:val="1AAC29B2"/>
    <w:rsid w:val="3134366A"/>
    <w:rsid w:val="32870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891</Words>
  <Characters>893</Characters>
  <TotalTime>10</TotalTime>
  <ScaleCrop>false</ScaleCrop>
  <LinksUpToDate>false</LinksUpToDate>
  <CharactersWithSpaces>893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2026-03-18T03:44:00Z</dcterms:created>
  <dc:creator>Apache POI</dc:creator>
  <cp:lastModifiedBy>赵洪彪</cp:lastModifiedBy>
  <dcterms:modified xsi:type="dcterms:W3CDTF">2026-04-07T09:17:34Z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JN5Sk144i5da4W+hqGcjxhqVU0VeQRrN1mNXY9EWxHo=","ProduceID":"doc_sgs:e9a66bbb-2d27-41df-b54b-c930e98855f9","ReservedCode2":"JN5Sk144i5da4W+hqGcjxhqVU0VeQRrN1mNXY9EWxHo=","PropagateID":"doc_sgs:e9a66bbb-2d27-41df-b54b-c930e98855f9","ContentProducer":"001191440101MA9Y9T4H7A00000"}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KSOProductBuildVer">
    <vt:lpwstr>2052-12.1.0.18608</vt:lpwstr>
  </property>
  <property fmtid="{D5CDD505-2E9C-101B-9397-08002B2CF9AE}" pid="5" name="ICV">
    <vt:lpwstr>9B48AFD7A67C4B49ADE083F18C1C414F_12</vt:lpwstr>
  </property>
</Properties>
</file>