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2F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none"/>
          <w:lang w:val="en-US" w:eastAsia="zh-CN"/>
        </w:rPr>
        <w:t>附件2：采购合同</w:t>
      </w:r>
    </w:p>
    <w:p w14:paraId="457FF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采购合同</w:t>
      </w:r>
    </w:p>
    <w:p w14:paraId="6B124A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甲方：广汉浩鑫安防科技有限公司</w:t>
      </w:r>
    </w:p>
    <w:p w14:paraId="3E9BC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乙方：</w:t>
      </w:r>
    </w:p>
    <w:p w14:paraId="742FCFE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0" w:line="240" w:lineRule="auto"/>
        <w:ind w:right="-101" w:rightChars="-48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为了增强甲乙双方的责任感，加强经济管理，提高经济效益，确保双方实现各自的经济目的，经甲乙双方共同充分协商并根据《民法典》有关法规的规定，签订本合同并信守下列条款。</w:t>
      </w:r>
    </w:p>
    <w:p w14:paraId="51DC64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after="240" w:afterLines="100" w:line="240" w:lineRule="auto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一、产品明细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28"/>
          <w:szCs w:val="28"/>
        </w:rPr>
        <w:t>如下：</w:t>
      </w:r>
    </w:p>
    <w:tbl>
      <w:tblPr>
        <w:tblStyle w:val="3"/>
        <w:tblW w:w="9375" w:type="dxa"/>
        <w:tblInd w:w="-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456"/>
        <w:gridCol w:w="4561"/>
        <w:gridCol w:w="663"/>
        <w:gridCol w:w="689"/>
        <w:gridCol w:w="1240"/>
      </w:tblGrid>
      <w:tr w14:paraId="1532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766" w:type="dxa"/>
            <w:noWrap w:val="0"/>
            <w:vAlign w:val="center"/>
          </w:tcPr>
          <w:p w14:paraId="4FD70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56" w:type="dxa"/>
            <w:noWrap w:val="0"/>
            <w:vAlign w:val="center"/>
          </w:tcPr>
          <w:p w14:paraId="7AC63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val="en-US" w:eastAsia="zh-CN" w:bidi="ar"/>
              </w:rPr>
              <w:t>产品名称</w:t>
            </w:r>
          </w:p>
        </w:tc>
        <w:tc>
          <w:tcPr>
            <w:tcW w:w="4561" w:type="dxa"/>
            <w:noWrap w:val="0"/>
            <w:vAlign w:val="center"/>
          </w:tcPr>
          <w:p w14:paraId="6BBD0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val="en-US" w:eastAsia="zh-CN" w:bidi="ar"/>
              </w:rPr>
              <w:t>参数</w:t>
            </w:r>
          </w:p>
        </w:tc>
        <w:tc>
          <w:tcPr>
            <w:tcW w:w="663" w:type="dxa"/>
            <w:noWrap w:val="0"/>
            <w:vAlign w:val="center"/>
          </w:tcPr>
          <w:p w14:paraId="775C6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689" w:type="dxa"/>
            <w:noWrap w:val="0"/>
            <w:vAlign w:val="center"/>
          </w:tcPr>
          <w:p w14:paraId="6C3B2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240" w:type="dxa"/>
            <w:noWrap w:val="0"/>
            <w:vAlign w:val="center"/>
          </w:tcPr>
          <w:p w14:paraId="28D88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bidi="ar"/>
              </w:rPr>
              <w:t>金额</w:t>
            </w:r>
          </w:p>
        </w:tc>
      </w:tr>
      <w:tr w14:paraId="6156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2" w:hRule="exact"/>
        </w:trPr>
        <w:tc>
          <w:tcPr>
            <w:tcW w:w="766" w:type="dxa"/>
            <w:noWrap w:val="0"/>
            <w:vAlign w:val="center"/>
          </w:tcPr>
          <w:p w14:paraId="478893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bookmarkStart w:id="0" w:name="OLE_LINK1" w:colFirst="1" w:colLast="6"/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56" w:type="dxa"/>
            <w:shd w:val="clear" w:color="auto" w:fill="auto"/>
            <w:noWrap w:val="0"/>
            <w:vAlign w:val="center"/>
          </w:tcPr>
          <w:p w14:paraId="735A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录像机</w:t>
            </w:r>
          </w:p>
        </w:tc>
        <w:tc>
          <w:tcPr>
            <w:tcW w:w="4561" w:type="dxa"/>
            <w:shd w:val="clear" w:color="auto" w:fill="auto"/>
            <w:noWrap w:val="0"/>
            <w:vAlign w:val="center"/>
          </w:tcPr>
          <w:p w14:paraId="41309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1、视频接入路数≥64路，网络输入带宽≥384MBps，网络输出带宽≥256MBps；</w:t>
            </w:r>
          </w:p>
          <w:p w14:paraId="2AAD8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2、可接驳符合ONVIF、RTSP、GB28181标准的网络摄像机</w:t>
            </w:r>
          </w:p>
          <w:p w14:paraId="46E0F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3、支持≥3200W像素高清网络视频的预览、存储、回放</w:t>
            </w:r>
          </w:p>
          <w:p w14:paraId="5D6F9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4、支持H.265,Smart265,H.264,Smart264编码前端自适应接入</w:t>
            </w:r>
          </w:p>
          <w:p w14:paraId="225D3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5、支持IPC集中管理，包括IPC参数配置、信息的导入、导出和升级等功能</w:t>
            </w:r>
          </w:p>
          <w:p w14:paraId="77016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6、2个HDMI接口，2个VGA接口，支持HDMI 双4K异源输出</w:t>
            </w:r>
          </w:p>
          <w:p w14:paraId="024E0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7、支持即时回放功能，在预览画面下对指定通道的当前录像进行回放，并且不影响其他通道预览</w:t>
            </w:r>
          </w:p>
          <w:p w14:paraId="5F141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8、支持≥16路同步回放及多路同步倒放</w:t>
            </w:r>
          </w:p>
          <w:p w14:paraId="5A99D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9、支持重要录像文件加锁保护功能</w:t>
            </w:r>
          </w:p>
          <w:p w14:paraId="6D71C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10、支持硬盘配额和硬盘盘组两种存储模式，可对不同通道分配不同的录像保存容量或周期</w:t>
            </w:r>
          </w:p>
          <w:p w14:paraId="56E4C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11、支持≥8个SATA接口，单盘最大容量≥16TB，≥1个eSATA接口；</w:t>
            </w:r>
          </w:p>
          <w:p w14:paraId="061D6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12、双千兆网卡，支持网络容错以及多址设定等应用</w:t>
            </w:r>
          </w:p>
          <w:p w14:paraId="68C0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13、支持网络检测（网络流量监控、网络抓包、网络通畅）功能</w:t>
            </w:r>
          </w:p>
          <w:p w14:paraId="4EDC1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14、支持人车分类检索，并关联录像回放</w:t>
            </w:r>
          </w:p>
          <w:p w14:paraId="183A2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15、支持区域入侵、越界侦测、进入区域、离开区域等周界检测功能</w:t>
            </w:r>
          </w:p>
          <w:p w14:paraId="7CA85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16、支持智能图搜功能，搭配文搜相机可对设备视频录像中的目标实现快速检索</w:t>
            </w:r>
          </w:p>
          <w:p w14:paraId="71F40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17、支持智能文搜功能，支持开放式语义检索，搭配文搜相机输入文字即可实现快速检索</w:t>
            </w:r>
          </w:p>
          <w:p w14:paraId="07FA0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18、支持≥16路报警输入，≥9路报警输出，≥2个USB2.0接口，≥2个USB3.0接口。</w:t>
            </w:r>
          </w:p>
          <w:p w14:paraId="41BDE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19、智能分析支持≥16个名单库，名单库库容≥5万张。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 w14:paraId="6BB1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89" w:type="dxa"/>
            <w:shd w:val="clear" w:color="auto" w:fill="auto"/>
            <w:noWrap w:val="0"/>
            <w:vAlign w:val="center"/>
          </w:tcPr>
          <w:p w14:paraId="7ECA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1240" w:type="dxa"/>
            <w:noWrap w:val="0"/>
            <w:vAlign w:val="center"/>
          </w:tcPr>
          <w:p w14:paraId="654C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bidi="ar"/>
              </w:rPr>
            </w:pPr>
          </w:p>
        </w:tc>
      </w:tr>
      <w:tr w14:paraId="39E1A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2" w:hRule="exact"/>
        </w:trPr>
        <w:tc>
          <w:tcPr>
            <w:tcW w:w="766" w:type="dxa"/>
            <w:noWrap w:val="0"/>
            <w:vAlign w:val="center"/>
          </w:tcPr>
          <w:p w14:paraId="29A350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6" w:type="dxa"/>
            <w:shd w:val="clear" w:color="auto" w:fill="auto"/>
            <w:noWrap w:val="0"/>
            <w:vAlign w:val="center"/>
          </w:tcPr>
          <w:p w14:paraId="5331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球机</w:t>
            </w:r>
          </w:p>
        </w:tc>
        <w:tc>
          <w:tcPr>
            <w:tcW w:w="4561" w:type="dxa"/>
            <w:shd w:val="clear" w:color="auto" w:fill="auto"/>
            <w:noWrap w:val="0"/>
            <w:vAlign w:val="center"/>
          </w:tcPr>
          <w:p w14:paraId="6B265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1、200万像素球形摄像机，焦距：≥ 4.8 mm~110 mm，≥23倍光学变倍 ，16倍数字变倍</w:t>
            </w:r>
          </w:p>
          <w:p w14:paraId="24267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2、支持区域入侵侦测，越界侦测，进入区域侦测和离开区域侦等智能侦测并联动跟踪</w:t>
            </w:r>
          </w:p>
          <w:p w14:paraId="7E87D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3、采用高效补光阵列，低功耗，红外补光150 m</w:t>
            </w:r>
          </w:p>
          <w:p w14:paraId="72F52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4、内置加热玻璃，有效除雾</w:t>
            </w:r>
          </w:p>
          <w:p w14:paraId="6AFCA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5、支持超低照度，≥0.005 Lux @F1.6（彩色），≥0.001 Lux @F1.6（黑白），0 Lux with IR</w:t>
            </w:r>
          </w:p>
          <w:p w14:paraId="2BCF9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6、支持三码流技术，每路码流可独立配置分辨率及帧率</w:t>
            </w:r>
          </w:p>
          <w:p w14:paraId="45B2A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7、支持3D数字降噪，支持真宽动态</w:t>
            </w:r>
          </w:p>
          <w:p w14:paraId="057FA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8、支持定时抓图与事件抓图功能</w:t>
            </w:r>
          </w:p>
          <w:p w14:paraId="5FAD5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9、支持定时任务，一键守望，一键巡航功能</w:t>
            </w:r>
          </w:p>
          <w:p w14:paraId="11370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10、支持两进一出报警，一进一出音频，最大支持512 GB MicroSD卡存储</w:t>
            </w:r>
          </w:p>
          <w:p w14:paraId="02A10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11、IP66，抗干扰能力强，适用于严酷的电磁环境，符合GB/T17626.2/3/4/5/6四级标准</w:t>
            </w:r>
          </w:p>
          <w:p w14:paraId="45E69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12、 视场角：≥ 57.6°~2.7°（广角~望远） </w:t>
            </w:r>
          </w:p>
          <w:p w14:paraId="67A79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13、水平范围：360°， 垂直范围：≥ -15°-90°(自动翻转)</w:t>
            </w:r>
          </w:p>
          <w:p w14:paraId="0F594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水平速度：水平键控速度：≥0.1°-160°/s,速度可设;水平预置点速度：≥240°/s</w:t>
            </w:r>
          </w:p>
          <w:p w14:paraId="3F204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垂直速度：垂直键控速度：≥0.1°-120°/s,速度可设;垂直预置点速度：≥200°/s </w:t>
            </w:r>
          </w:p>
          <w:p w14:paraId="4DFA4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 电流及功耗：最大功耗：≤24 W， 工作温湿度：≥-30℃-65℃;湿度小于90%</w:t>
            </w:r>
          </w:p>
        </w:tc>
        <w:tc>
          <w:tcPr>
            <w:tcW w:w="663" w:type="dxa"/>
            <w:shd w:val="clear" w:color="auto" w:fill="auto"/>
            <w:noWrap w:val="0"/>
            <w:vAlign w:val="center"/>
          </w:tcPr>
          <w:p w14:paraId="188A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89" w:type="dxa"/>
            <w:shd w:val="clear" w:color="auto" w:fill="auto"/>
            <w:noWrap w:val="0"/>
            <w:vAlign w:val="center"/>
          </w:tcPr>
          <w:p w14:paraId="636C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1240" w:type="dxa"/>
            <w:noWrap w:val="0"/>
            <w:vAlign w:val="center"/>
          </w:tcPr>
          <w:p w14:paraId="6589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bidi="ar"/>
              </w:rPr>
            </w:pPr>
          </w:p>
        </w:tc>
      </w:tr>
      <w:bookmarkEnd w:id="0"/>
      <w:tr w14:paraId="08C7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2222" w:type="dxa"/>
            <w:gridSpan w:val="2"/>
            <w:noWrap w:val="0"/>
            <w:vAlign w:val="center"/>
          </w:tcPr>
          <w:p w14:paraId="69958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" w:name="OLE_LINK2" w:colFirst="0" w:colLast="1"/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 计</w:t>
            </w:r>
          </w:p>
        </w:tc>
        <w:tc>
          <w:tcPr>
            <w:tcW w:w="7153" w:type="dxa"/>
            <w:gridSpan w:val="4"/>
            <w:noWrap w:val="0"/>
            <w:vAlign w:val="center"/>
          </w:tcPr>
          <w:p w14:paraId="11591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¥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u w:val="none"/>
                <w:lang w:val="en-US" w:eastAsia="zh-CN"/>
              </w:rPr>
              <w:t>元（大写：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  <w:bookmarkEnd w:id="1"/>
      <w:tr w14:paraId="7518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</w:trPr>
        <w:tc>
          <w:tcPr>
            <w:tcW w:w="9375" w:type="dxa"/>
            <w:gridSpan w:val="6"/>
            <w:noWrap w:val="0"/>
            <w:vAlign w:val="center"/>
          </w:tcPr>
          <w:p w14:paraId="37AFE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bidi="ar"/>
              </w:rPr>
              <w:t>备注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 w:bidi="ar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包括但不限于人工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4"/>
                <w:sz w:val="21"/>
                <w:szCs w:val="21"/>
                <w:lang w:val="en-US" w:eastAsia="zh-CN"/>
              </w:rPr>
              <w:t>、材料、交通运输、安装、调试、后续维护、保修、培训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、利润、税金、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后续服务费等为完成本项目约定服务的所有费用。</w:t>
            </w:r>
          </w:p>
        </w:tc>
      </w:tr>
    </w:tbl>
    <w:p w14:paraId="1BFAA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2115B0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line="240" w:lineRule="auto"/>
        <w:ind w:left="390" w:leftChars="0" w:hanging="390" w:firstLineChars="0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val="en-US" w:eastAsia="zh-CN" w:bidi="ar-SA"/>
        </w:rPr>
        <w:t>二、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技术支持</w:t>
      </w:r>
    </w:p>
    <w:p w14:paraId="694142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  <w:lang w:val="en-US" w:eastAsia="zh-CN" w:bidi="ar-SA"/>
        </w:rPr>
        <w:t>乙方应派技术员到甲方现场提供设备调试指导，相关费用由乙方承担。</w:t>
      </w:r>
    </w:p>
    <w:p w14:paraId="0D7B7F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90" w:leftChars="0" w:hanging="390" w:firstLineChars="0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val="en-US" w:eastAsia="zh-CN" w:bidi="ar-SA"/>
        </w:rPr>
        <w:t>三、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交货时间、地点及方式：</w:t>
      </w:r>
    </w:p>
    <w:p w14:paraId="3F82A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乙方于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年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月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日准备好全部货物。</w:t>
      </w:r>
    </w:p>
    <w:p w14:paraId="3C9E9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甲方指定收货地址：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>广汉市天津路西一段38号6楼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                   </w:t>
      </w:r>
    </w:p>
    <w:p w14:paraId="768E54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联络电话：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>0838-5222621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                           </w:t>
      </w:r>
    </w:p>
    <w:p w14:paraId="0A6A1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.乙方将货物运至指定地址后，甲方应尽快查验货物，确认完好无短缺后签收送货单。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设备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调试完毕后，甲方验收合格即完成交付。</w:t>
      </w:r>
    </w:p>
    <w:p w14:paraId="0940B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交货期限：</w:t>
      </w:r>
    </w:p>
    <w:p w14:paraId="290009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交货期限自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签订合同后5个日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内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供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货。</w:t>
      </w:r>
    </w:p>
    <w:p w14:paraId="0E403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有关合同款项的结算：</w:t>
      </w:r>
    </w:p>
    <w:p w14:paraId="6AABA7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 w:bidi="ar-SA"/>
        </w:rPr>
        <w:t>到货后经甲方验收合格即完成交付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，乙方向甲方提供增值税专用发票，甲方在收到乙方提供的增值税专用发票后的15个工作日内一次性付清全部费用。</w:t>
      </w:r>
    </w:p>
    <w:p w14:paraId="4365C666">
      <w:pPr>
        <w:keepNext w:val="0"/>
        <w:keepLines w:val="0"/>
        <w:pageBreakBefore w:val="0"/>
        <w:widowControl/>
        <w:numPr>
          <w:ilvl w:val="1"/>
          <w:numId w:val="0"/>
        </w:numPr>
        <w:tabs>
          <w:tab w:val="left" w:pos="780"/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" w:beforeLines="30" w:after="72" w:afterLines="30"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2.账号信息：</w:t>
      </w:r>
    </w:p>
    <w:p w14:paraId="7690BC29">
      <w:pPr>
        <w:keepNext w:val="0"/>
        <w:keepLines w:val="0"/>
        <w:pageBreakBefore w:val="0"/>
        <w:widowControl/>
        <w:numPr>
          <w:ilvl w:val="1"/>
          <w:numId w:val="0"/>
        </w:numPr>
        <w:tabs>
          <w:tab w:val="left" w:pos="780"/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" w:beforeLines="30" w:after="72" w:afterLines="30"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名称：</w:t>
      </w:r>
    </w:p>
    <w:p w14:paraId="655D5C81">
      <w:pPr>
        <w:keepNext w:val="0"/>
        <w:keepLines w:val="0"/>
        <w:pageBreakBefore w:val="0"/>
        <w:widowControl/>
        <w:numPr>
          <w:ilvl w:val="1"/>
          <w:numId w:val="0"/>
        </w:numPr>
        <w:tabs>
          <w:tab w:val="left" w:pos="780"/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" w:beforeLines="30" w:after="72" w:afterLines="30"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开户行：</w:t>
      </w:r>
    </w:p>
    <w:p w14:paraId="128DF6E9">
      <w:pPr>
        <w:keepNext w:val="0"/>
        <w:keepLines w:val="0"/>
        <w:pageBreakBefore w:val="0"/>
        <w:widowControl/>
        <w:numPr>
          <w:ilvl w:val="1"/>
          <w:numId w:val="0"/>
        </w:numPr>
        <w:tabs>
          <w:tab w:val="left" w:pos="780"/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" w:beforeLines="30" w:after="72" w:afterLines="30"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账号：</w:t>
      </w:r>
    </w:p>
    <w:p w14:paraId="65EDC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质量要求：</w:t>
      </w:r>
    </w:p>
    <w:p w14:paraId="1BD29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乙方所供产品必须原厂原装，符合该产品所附技术资料及说明书所载明的各项性能指标。产品不符合要求，甲方可以提出整改或者退货退款。</w:t>
      </w:r>
    </w:p>
    <w:p w14:paraId="37339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乙方所出售的产品不得侵害任何第三方的知识产权，否则一切责任由乙方承担，与甲方无关。</w:t>
      </w:r>
    </w:p>
    <w:p w14:paraId="038886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售后服务：</w:t>
      </w:r>
    </w:p>
    <w:p w14:paraId="6C9BAD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1.设备免费保修1年（自验收合格次日起算）</w:t>
      </w:r>
    </w:p>
    <w:p w14:paraId="0E9E60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2.保修期内产品出现质量问题，乙方应在10天内维修或更换。</w:t>
      </w:r>
    </w:p>
    <w:p w14:paraId="4B4B83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合同一式伍份，甲方执叁份，乙方执贰份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，双方签字盖章后具有法律效力，双方不得无故变更、取消本合同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本合同未尽事宜，须经双方协商，作出补充规定，补充规定与本合同有同等的法律效力。</w:t>
      </w:r>
    </w:p>
    <w:p w14:paraId="7E632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九、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违约责任：</w:t>
      </w:r>
    </w:p>
    <w:p w14:paraId="6E2D61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本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合同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如发生纠纷，当事人双方应当及时协商，协商方式议案需以书面为准，协商不成时，向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甲方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所在地法院提出诉讼。</w:t>
      </w:r>
    </w:p>
    <w:p w14:paraId="18F85A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0609E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59580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37E2C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3964"/>
      </w:tblGrid>
      <w:tr w14:paraId="1C0E0A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7" w:type="dxa"/>
            <w:gridSpan w:val="2"/>
            <w:vAlign w:val="center"/>
          </w:tcPr>
          <w:p w14:paraId="43AB16CC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甲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方</w:t>
            </w:r>
          </w:p>
        </w:tc>
      </w:tr>
      <w:tr w14:paraId="270C60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vAlign w:val="center"/>
          </w:tcPr>
          <w:p w14:paraId="792B68B0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单位名称（盖章）</w:t>
            </w:r>
          </w:p>
        </w:tc>
        <w:tc>
          <w:tcPr>
            <w:tcW w:w="3964" w:type="dxa"/>
            <w:vAlign w:val="center"/>
          </w:tcPr>
          <w:p w14:paraId="648FA209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广汉浩鑫安防科技有限公司</w:t>
            </w:r>
          </w:p>
        </w:tc>
      </w:tr>
      <w:tr w14:paraId="5E17AA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vAlign w:val="center"/>
          </w:tcPr>
          <w:p w14:paraId="6F28A3E7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法定代表人或其授权委托代理人（签章）</w:t>
            </w:r>
          </w:p>
        </w:tc>
        <w:tc>
          <w:tcPr>
            <w:tcW w:w="3964" w:type="dxa"/>
            <w:vAlign w:val="center"/>
          </w:tcPr>
          <w:p w14:paraId="106CE372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1233D3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vAlign w:val="center"/>
          </w:tcPr>
          <w:p w14:paraId="2DD184FA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964" w:type="dxa"/>
            <w:vAlign w:val="center"/>
          </w:tcPr>
          <w:p w14:paraId="76DBA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-57" w:rightChars="-2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广汉市天津路西一段38号</w:t>
            </w:r>
          </w:p>
          <w:p w14:paraId="3EF8D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-57" w:rightChars="-2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航天航空科技孵化产业园610</w:t>
            </w:r>
          </w:p>
        </w:tc>
      </w:tr>
      <w:tr w14:paraId="7440C2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vAlign w:val="center"/>
          </w:tcPr>
          <w:p w14:paraId="78B217D0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964" w:type="dxa"/>
            <w:vAlign w:val="center"/>
          </w:tcPr>
          <w:p w14:paraId="750038B1">
            <w:pPr>
              <w:spacing w:line="360" w:lineRule="auto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bookmarkStart w:id="2" w:name="_GoBack"/>
            <w:bookmarkEnd w:id="2"/>
          </w:p>
        </w:tc>
      </w:tr>
      <w:tr w14:paraId="5C94CF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vAlign w:val="center"/>
          </w:tcPr>
          <w:p w14:paraId="7ABBFF6D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签约日期</w:t>
            </w:r>
          </w:p>
        </w:tc>
        <w:tc>
          <w:tcPr>
            <w:tcW w:w="3964" w:type="dxa"/>
            <w:vAlign w:val="center"/>
          </w:tcPr>
          <w:p w14:paraId="21D5E22D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335BA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7" w:type="dxa"/>
            <w:gridSpan w:val="2"/>
            <w:shd w:val="clear" w:color="auto" w:fill="auto"/>
            <w:vAlign w:val="center"/>
          </w:tcPr>
          <w:p w14:paraId="1D530BD4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乙方</w:t>
            </w:r>
          </w:p>
        </w:tc>
      </w:tr>
      <w:tr w14:paraId="1A9A57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BBB909F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单位名称（盖章）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9BCDF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Hans" w:bidi="ar-SA"/>
              </w:rPr>
            </w:pPr>
          </w:p>
        </w:tc>
      </w:tr>
      <w:tr w14:paraId="65637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F169782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法定代表人或其授权委托代理人（签章）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3CD8D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464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055F9DC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1F1A9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621D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shd w:val="clear" w:color="auto" w:fill="auto"/>
            <w:vAlign w:val="center"/>
          </w:tcPr>
          <w:p w14:paraId="551CD1AF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794EA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120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shd w:val="clear" w:color="auto" w:fill="auto"/>
            <w:vAlign w:val="center"/>
          </w:tcPr>
          <w:p w14:paraId="3019FE19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签约日期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D6D10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7D92A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67F3B"/>
    <w:rsid w:val="56B67F3B"/>
    <w:rsid w:val="6326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2026-03-17T06:54:00Z</dcterms:created>
  <dc:creator>海浪与山</dc:creator>
  <cp:lastModifiedBy>海浪与山</cp:lastModifiedBy>
  <dcterms:modified xsi:type="dcterms:W3CDTF">2026-03-17T06:56:05Z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813C574B6C3D431C9403397D21185583_11</vt:lpwstr>
  </property>
  <property fmtid="{D5CDD505-2E9C-101B-9397-08002B2CF9AE}" pid="4" name="KSOTemplateDocerSaveRecord">
    <vt:lpwstr>eyJoZGlkIjoiYThiOWM2Y2I3ODZiMTg3MTU0OWU4OTFmYTY3NDJkN2IiLCJ1c2VySWQiOiIyNzYxOTI2ODAifQ==</vt:lpwstr>
  </property>
</Properties>
</file>