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E2EF5">
      <w:pPr>
        <w:rPr>
          <w:rFonts w:hint="default" w:ascii="黑体" w:hAnsi="黑体" w:eastAsia="黑体" w:cs="黑体"/>
          <w:sz w:val="32"/>
          <w:szCs w:val="28"/>
          <w:lang w:val="en-US" w:eastAsia="zh-CN"/>
        </w:rPr>
      </w:pPr>
      <w:r>
        <w:rPr>
          <w:rFonts w:hint="eastAsia" w:ascii="黑体" w:hAnsi="黑体" w:eastAsia="黑体" w:cs="黑体"/>
          <w:sz w:val="32"/>
          <w:szCs w:val="28"/>
          <w:lang w:val="en-US" w:eastAsia="zh-CN"/>
        </w:rPr>
        <w:t>附件2</w:t>
      </w:r>
    </w:p>
    <w:p w14:paraId="1F4D2E99">
      <w:pPr>
        <w:spacing w:line="360" w:lineRule="auto"/>
        <w:ind w:firstLine="420"/>
        <w:jc w:val="center"/>
        <w:rPr>
          <w:rFonts w:ascii="仿宋_GB2312" w:hAnsi="仿宋_GB2312" w:eastAsia="仿宋_GB2312"/>
          <w:b/>
          <w:bCs/>
          <w:sz w:val="44"/>
          <w:szCs w:val="44"/>
        </w:rPr>
      </w:pPr>
    </w:p>
    <w:p w14:paraId="3A54C66B">
      <w:pPr>
        <w:spacing w:line="360" w:lineRule="auto"/>
        <w:jc w:val="center"/>
        <w:rPr>
          <w:rFonts w:ascii="仿宋_GB2312" w:hAnsi="仿宋_GB2312" w:eastAsia="仿宋_GB2312"/>
          <w:b/>
          <w:bCs/>
          <w:sz w:val="44"/>
          <w:szCs w:val="44"/>
        </w:rPr>
      </w:pPr>
    </w:p>
    <w:p w14:paraId="24751DE9">
      <w:pPr>
        <w:spacing w:line="360" w:lineRule="auto"/>
        <w:jc w:val="center"/>
        <w:rPr>
          <w:rFonts w:ascii="宋体" w:hAnsi="宋体"/>
          <w:b/>
          <w:bCs/>
          <w:sz w:val="44"/>
          <w:szCs w:val="44"/>
        </w:rPr>
      </w:pPr>
      <w:r>
        <w:rPr>
          <w:rFonts w:ascii="宋体" w:hAnsi="宋体"/>
          <w:b/>
          <w:bCs/>
          <w:sz w:val="44"/>
          <w:szCs w:val="44"/>
        </w:rPr>
        <w:t>危险废物</w:t>
      </w:r>
    </w:p>
    <w:p w14:paraId="738A1515">
      <w:pPr>
        <w:spacing w:line="360" w:lineRule="auto"/>
        <w:jc w:val="center"/>
        <w:rPr>
          <w:rFonts w:ascii="宋体" w:hAnsi="宋体"/>
          <w:b/>
          <w:bCs/>
          <w:sz w:val="44"/>
          <w:szCs w:val="44"/>
        </w:rPr>
      </w:pPr>
      <w:r>
        <w:rPr>
          <w:rFonts w:ascii="宋体" w:hAnsi="宋体"/>
          <w:b/>
          <w:bCs/>
          <w:sz w:val="44"/>
          <w:szCs w:val="44"/>
        </w:rPr>
        <w:t>委托处置服务合同</w:t>
      </w:r>
    </w:p>
    <w:p w14:paraId="005F7F2F">
      <w:pPr>
        <w:spacing w:line="360" w:lineRule="auto"/>
        <w:jc w:val="center"/>
        <w:rPr>
          <w:rFonts w:hint="eastAsia" w:ascii="宋体" w:hAnsi="宋体" w:eastAsia="宋体"/>
          <w:b/>
          <w:bCs/>
          <w:sz w:val="44"/>
          <w:szCs w:val="44"/>
          <w:lang w:eastAsia="zh-CN"/>
        </w:rPr>
      </w:pPr>
      <w:r>
        <w:rPr>
          <w:rFonts w:hint="eastAsia" w:ascii="宋体" w:hAnsi="宋体"/>
          <w:b/>
          <w:bCs/>
          <w:sz w:val="44"/>
          <w:szCs w:val="44"/>
          <w:lang w:eastAsia="zh-CN"/>
        </w:rPr>
        <w:t>（</w:t>
      </w:r>
      <w:r>
        <w:rPr>
          <w:rFonts w:hint="eastAsia" w:ascii="宋体" w:hAnsi="宋体"/>
          <w:b/>
          <w:bCs/>
          <w:sz w:val="44"/>
          <w:szCs w:val="44"/>
          <w:lang w:val="en-US" w:eastAsia="zh-CN"/>
        </w:rPr>
        <w:t>以实际签订为准</w:t>
      </w:r>
      <w:r>
        <w:rPr>
          <w:rFonts w:hint="eastAsia" w:ascii="宋体" w:hAnsi="宋体"/>
          <w:b/>
          <w:bCs/>
          <w:sz w:val="44"/>
          <w:szCs w:val="44"/>
          <w:lang w:eastAsia="zh-CN"/>
        </w:rPr>
        <w:t>）</w:t>
      </w:r>
    </w:p>
    <w:p w14:paraId="70C69194">
      <w:pPr>
        <w:rPr>
          <w:rFonts w:ascii="仿宋_GB2312" w:hAnsi="仿宋_GB2312" w:eastAsia="仿宋_GB2312"/>
          <w:b/>
          <w:bCs/>
          <w:sz w:val="24"/>
          <w:szCs w:val="21"/>
        </w:rPr>
      </w:pPr>
    </w:p>
    <w:p w14:paraId="25411EC6">
      <w:pPr>
        <w:rPr>
          <w:rFonts w:ascii="仿宋_GB2312" w:hAnsi="仿宋_GB2312" w:eastAsia="仿宋_GB2312"/>
          <w:b/>
          <w:bCs/>
          <w:sz w:val="24"/>
          <w:szCs w:val="21"/>
        </w:rPr>
      </w:pPr>
    </w:p>
    <w:p w14:paraId="330137F1">
      <w:pPr>
        <w:rPr>
          <w:rFonts w:ascii="仿宋_GB2312" w:hAnsi="仿宋_GB2312" w:eastAsia="仿宋_GB2312"/>
          <w:b/>
          <w:bCs/>
          <w:sz w:val="24"/>
          <w:szCs w:val="21"/>
        </w:rPr>
      </w:pPr>
    </w:p>
    <w:p w14:paraId="77A7EE91">
      <w:pPr>
        <w:rPr>
          <w:rFonts w:ascii="仿宋_GB2312" w:hAnsi="仿宋_GB2312" w:eastAsia="仿宋_GB2312"/>
          <w:b/>
          <w:bCs/>
          <w:sz w:val="24"/>
          <w:szCs w:val="21"/>
        </w:rPr>
      </w:pPr>
    </w:p>
    <w:p w14:paraId="05190D6A">
      <w:pPr>
        <w:rPr>
          <w:rFonts w:ascii="仿宋_GB2312" w:hAnsi="仿宋_GB2312" w:eastAsia="仿宋_GB2312"/>
          <w:b/>
          <w:bCs/>
          <w:sz w:val="24"/>
          <w:szCs w:val="21"/>
        </w:rPr>
      </w:pPr>
    </w:p>
    <w:p w14:paraId="40305493">
      <w:pPr>
        <w:rPr>
          <w:rFonts w:ascii="仿宋_GB2312" w:hAnsi="仿宋_GB2312" w:eastAsia="仿宋_GB2312"/>
          <w:b/>
          <w:bCs/>
          <w:sz w:val="24"/>
          <w:szCs w:val="21"/>
        </w:rPr>
      </w:pPr>
    </w:p>
    <w:p w14:paraId="0C49B9C5">
      <w:pPr>
        <w:rPr>
          <w:rFonts w:ascii="仿宋_GB2312" w:hAnsi="仿宋_GB2312" w:eastAsia="仿宋_GB2312"/>
          <w:b/>
          <w:bCs/>
          <w:sz w:val="24"/>
          <w:szCs w:val="21"/>
        </w:rPr>
      </w:pPr>
    </w:p>
    <w:p w14:paraId="08E7E8A9">
      <w:pPr>
        <w:jc w:val="left"/>
        <w:rPr>
          <w:rFonts w:ascii="仿宋_GB2312" w:hAnsi="仿宋_GB2312" w:eastAsia="仿宋_GB2312"/>
          <w:bCs/>
          <w:szCs w:val="21"/>
        </w:rPr>
      </w:pPr>
      <w:r>
        <w:rPr>
          <w:rFonts w:hint="eastAsia" w:ascii="仿宋" w:hAnsi="仿宋" w:eastAsia="仿宋"/>
          <w:b/>
          <w:bCs/>
          <w:sz w:val="32"/>
          <w:szCs w:val="32"/>
        </w:rPr>
        <w:t>甲方：</w:t>
      </w:r>
      <w:r>
        <w:rPr>
          <w:rFonts w:hint="eastAsia" w:ascii="仿宋" w:hAnsi="仿宋" w:eastAsia="仿宋"/>
          <w:b w:val="0"/>
          <w:bCs w:val="0"/>
          <w:color w:val="auto"/>
          <w:sz w:val="28"/>
          <w:szCs w:val="28"/>
          <w:u w:val="single"/>
          <w:lang w:val="en-US" w:eastAsia="zh-CN"/>
        </w:rPr>
        <w:t xml:space="preserve">                              </w:t>
      </w:r>
      <w:r>
        <w:rPr>
          <w:rFonts w:hint="eastAsia" w:ascii="仿宋" w:hAnsi="仿宋" w:eastAsia="仿宋"/>
          <w:bCs/>
          <w:sz w:val="24"/>
          <w:szCs w:val="24"/>
        </w:rPr>
        <w:t>（产废单位）</w:t>
      </w:r>
    </w:p>
    <w:p w14:paraId="0F62BF00">
      <w:pPr>
        <w:rPr>
          <w:rFonts w:ascii="仿宋_GB2312" w:hAnsi="仿宋_GB2312" w:eastAsia="仿宋_GB2312"/>
          <w:b/>
          <w:bCs/>
          <w:sz w:val="24"/>
          <w:szCs w:val="21"/>
          <w:highlight w:val="yellow"/>
        </w:rPr>
      </w:pPr>
    </w:p>
    <w:p w14:paraId="486A40CE">
      <w:pPr>
        <w:rPr>
          <w:rFonts w:ascii="仿宋_GB2312" w:hAnsi="仿宋_GB2312" w:eastAsia="仿宋_GB2312"/>
          <w:b/>
          <w:bCs/>
          <w:sz w:val="24"/>
          <w:szCs w:val="21"/>
        </w:rPr>
      </w:pPr>
    </w:p>
    <w:p w14:paraId="296AD644">
      <w:pPr>
        <w:rPr>
          <w:rFonts w:ascii="仿宋" w:hAnsi="仿宋" w:eastAsia="仿宋"/>
          <w:bCs/>
          <w:szCs w:val="21"/>
        </w:rPr>
      </w:pPr>
      <w:r>
        <w:rPr>
          <w:rFonts w:hint="eastAsia" w:ascii="仿宋" w:hAnsi="仿宋" w:eastAsia="仿宋"/>
          <w:b/>
          <w:bCs/>
          <w:sz w:val="32"/>
          <w:szCs w:val="32"/>
        </w:rPr>
        <w:t>乙方：</w:t>
      </w:r>
      <w:r>
        <w:rPr>
          <w:rFonts w:hint="eastAsia" w:ascii="仿宋" w:hAnsi="仿宋" w:eastAsia="仿宋"/>
          <w:b/>
          <w:bCs/>
          <w:sz w:val="32"/>
          <w:szCs w:val="32"/>
          <w:u w:val="single"/>
          <w:lang w:val="en-US" w:eastAsia="zh-CN"/>
        </w:rPr>
        <w:t xml:space="preserve">                          </w:t>
      </w:r>
      <w:r>
        <w:rPr>
          <w:rFonts w:hint="eastAsia" w:ascii="仿宋" w:hAnsi="仿宋" w:eastAsia="仿宋"/>
          <w:bCs/>
          <w:sz w:val="24"/>
          <w:szCs w:val="24"/>
        </w:rPr>
        <w:t>（处置单位）</w:t>
      </w:r>
    </w:p>
    <w:p w14:paraId="002AB0A8">
      <w:pPr>
        <w:rPr>
          <w:rFonts w:ascii="仿宋_GB2312" w:hAnsi="仿宋_GB2312" w:eastAsia="仿宋_GB2312"/>
          <w:b/>
          <w:bCs/>
          <w:sz w:val="24"/>
          <w:szCs w:val="24"/>
        </w:rPr>
      </w:pPr>
    </w:p>
    <w:p w14:paraId="4598092E">
      <w:pPr>
        <w:rPr>
          <w:rFonts w:ascii="仿宋_GB2312" w:hAnsi="仿宋_GB2312" w:eastAsia="仿宋_GB2312"/>
          <w:b/>
          <w:bCs/>
          <w:sz w:val="24"/>
          <w:szCs w:val="24"/>
        </w:rPr>
      </w:pPr>
    </w:p>
    <w:p w14:paraId="5CFE4757">
      <w:pPr>
        <w:rPr>
          <w:rFonts w:ascii="仿宋_GB2312" w:hAnsi="仿宋_GB2312" w:eastAsia="仿宋_GB2312"/>
          <w:b/>
          <w:bCs/>
          <w:sz w:val="24"/>
          <w:szCs w:val="24"/>
        </w:rPr>
      </w:pPr>
    </w:p>
    <w:p w14:paraId="66AF8E27">
      <w:pPr>
        <w:rPr>
          <w:rFonts w:ascii="仿宋_GB2312" w:hAnsi="仿宋_GB2312" w:eastAsia="仿宋_GB2312"/>
          <w:b/>
          <w:bCs/>
          <w:sz w:val="24"/>
          <w:szCs w:val="24"/>
        </w:rPr>
      </w:pPr>
    </w:p>
    <w:p w14:paraId="756667C6">
      <w:pPr>
        <w:rPr>
          <w:rFonts w:ascii="仿宋_GB2312" w:hAnsi="仿宋_GB2312" w:eastAsia="仿宋_GB2312"/>
          <w:b/>
          <w:bCs/>
          <w:sz w:val="24"/>
          <w:szCs w:val="24"/>
        </w:rPr>
      </w:pPr>
    </w:p>
    <w:p w14:paraId="048AA374">
      <w:pPr>
        <w:rPr>
          <w:rFonts w:ascii="仿宋_GB2312" w:hAnsi="仿宋_GB2312" w:eastAsia="仿宋_GB2312"/>
          <w:b/>
          <w:bCs/>
          <w:sz w:val="24"/>
          <w:szCs w:val="24"/>
        </w:rPr>
      </w:pPr>
    </w:p>
    <w:p w14:paraId="577250BD">
      <w:pPr>
        <w:rPr>
          <w:rFonts w:ascii="仿宋_GB2312" w:hAnsi="仿宋_GB2312" w:eastAsia="仿宋_GB2312"/>
          <w:b/>
          <w:bCs/>
          <w:sz w:val="24"/>
          <w:szCs w:val="24"/>
        </w:rPr>
      </w:pPr>
    </w:p>
    <w:p w14:paraId="02C4A336">
      <w:pPr>
        <w:rPr>
          <w:rFonts w:ascii="仿宋_GB2312" w:hAnsi="仿宋_GB2312" w:eastAsia="仿宋_GB2312"/>
          <w:b/>
          <w:bCs/>
          <w:sz w:val="24"/>
          <w:szCs w:val="24"/>
        </w:rPr>
      </w:pPr>
    </w:p>
    <w:p w14:paraId="47A6B638">
      <w:pPr>
        <w:rPr>
          <w:rFonts w:ascii="仿宋_GB2312" w:hAnsi="仿宋_GB2312" w:eastAsia="仿宋_GB2312"/>
          <w:b/>
          <w:bCs/>
          <w:sz w:val="24"/>
          <w:szCs w:val="24"/>
        </w:rPr>
      </w:pPr>
    </w:p>
    <w:p w14:paraId="3E9B7E8E">
      <w:pPr>
        <w:jc w:val="center"/>
        <w:rPr>
          <w:rFonts w:ascii="仿宋" w:hAnsi="仿宋" w:eastAsia="仿宋"/>
          <w:b/>
          <w:bCs/>
          <w:sz w:val="32"/>
          <w:szCs w:val="32"/>
        </w:rPr>
      </w:pPr>
      <w:r>
        <w:rPr>
          <w:rFonts w:hint="eastAsia" w:ascii="仿宋" w:hAnsi="仿宋" w:eastAsia="仿宋"/>
          <w:b/>
          <w:bCs/>
          <w:sz w:val="32"/>
          <w:szCs w:val="32"/>
        </w:rPr>
        <w:t>20</w:t>
      </w:r>
      <w:r>
        <w:rPr>
          <w:rFonts w:ascii="仿宋" w:hAnsi="仿宋" w:eastAsia="仿宋"/>
          <w:b/>
          <w:bCs/>
          <w:sz w:val="32"/>
          <w:szCs w:val="32"/>
        </w:rPr>
        <w:t>2</w:t>
      </w:r>
      <w:r>
        <w:rPr>
          <w:rFonts w:hint="eastAsia" w:ascii="仿宋" w:hAnsi="仿宋" w:eastAsia="仿宋"/>
          <w:b/>
          <w:bCs/>
          <w:sz w:val="32"/>
          <w:szCs w:val="32"/>
          <w:lang w:val="en-US" w:eastAsia="zh-CN"/>
        </w:rPr>
        <w:t>6</w:t>
      </w:r>
      <w:r>
        <w:rPr>
          <w:rFonts w:hint="eastAsia" w:ascii="仿宋" w:hAnsi="仿宋" w:eastAsia="仿宋"/>
          <w:b/>
          <w:bCs/>
          <w:sz w:val="32"/>
          <w:szCs w:val="32"/>
        </w:rPr>
        <w:t>年</w:t>
      </w:r>
      <w:r>
        <w:rPr>
          <w:rFonts w:hint="eastAsia" w:ascii="仿宋" w:hAnsi="仿宋" w:eastAsia="仿宋"/>
          <w:b/>
          <w:bCs/>
          <w:sz w:val="32"/>
          <w:szCs w:val="32"/>
          <w:lang w:val="en-US" w:eastAsia="zh-CN"/>
        </w:rPr>
        <w:t xml:space="preserve">  </w:t>
      </w:r>
      <w:r>
        <w:rPr>
          <w:rFonts w:hint="eastAsia" w:ascii="仿宋" w:hAnsi="仿宋" w:eastAsia="仿宋"/>
          <w:b/>
          <w:bCs/>
          <w:sz w:val="32"/>
          <w:szCs w:val="32"/>
        </w:rPr>
        <w:t>月</w:t>
      </w:r>
    </w:p>
    <w:p w14:paraId="66A5DAB9">
      <w:pPr>
        <w:spacing w:line="400" w:lineRule="exact"/>
        <w:jc w:val="left"/>
        <w:rPr>
          <w:rFonts w:ascii="仿宋" w:hAnsi="仿宋" w:eastAsia="仿宋"/>
          <w:b/>
          <w:bCs/>
          <w:sz w:val="28"/>
          <w:szCs w:val="28"/>
        </w:rPr>
      </w:pPr>
    </w:p>
    <w:p w14:paraId="204795EC">
      <w:pPr>
        <w:spacing w:line="400" w:lineRule="exact"/>
        <w:jc w:val="left"/>
        <w:rPr>
          <w:rFonts w:ascii="仿宋" w:hAnsi="仿宋" w:eastAsia="仿宋"/>
          <w:b/>
          <w:bCs/>
          <w:sz w:val="28"/>
          <w:szCs w:val="28"/>
        </w:rPr>
        <w:sectPr>
          <w:headerReference r:id="rId4" w:type="first"/>
          <w:headerReference r:id="rId3" w:type="default"/>
          <w:footerReference r:id="rId5" w:type="default"/>
          <w:endnotePr>
            <w:numFmt w:val="decimal"/>
          </w:endnotePr>
          <w:pgSz w:w="11906" w:h="16838"/>
          <w:pgMar w:top="1417" w:right="1417" w:bottom="1417" w:left="1701" w:header="284" w:footer="992" w:gutter="0"/>
          <w:pgNumType w:fmt="decimal" w:start="1"/>
          <w:cols w:space="720" w:num="1"/>
          <w:titlePg/>
        </w:sectPr>
      </w:pPr>
    </w:p>
    <w:p w14:paraId="5D755902">
      <w:pPr>
        <w:spacing w:line="400" w:lineRule="exact"/>
        <w:jc w:val="left"/>
        <w:rPr>
          <w:rFonts w:ascii="仿宋" w:hAnsi="仿宋" w:eastAsia="仿宋"/>
          <w:sz w:val="28"/>
          <w:szCs w:val="28"/>
        </w:rPr>
      </w:pPr>
      <w:r>
        <w:rPr>
          <w:rFonts w:hint="eastAsia" w:ascii="仿宋" w:hAnsi="仿宋" w:eastAsia="仿宋"/>
          <w:sz w:val="28"/>
          <w:szCs w:val="28"/>
        </w:rPr>
        <w:t>甲方：</w:t>
      </w:r>
      <w:r>
        <w:rPr>
          <w:rFonts w:hint="eastAsia" w:ascii="仿宋" w:hAnsi="仿宋" w:eastAsia="仿宋"/>
          <w:b w:val="0"/>
          <w:bCs w:val="0"/>
          <w:color w:val="auto"/>
          <w:sz w:val="28"/>
          <w:szCs w:val="28"/>
          <w:u w:val="single"/>
          <w:lang w:val="en-US" w:eastAsia="zh-CN"/>
        </w:rPr>
        <w:t xml:space="preserve">                              </w:t>
      </w:r>
      <w:r>
        <w:rPr>
          <w:rFonts w:hint="eastAsia" w:ascii="仿宋" w:hAnsi="仿宋" w:eastAsia="仿宋"/>
          <w:sz w:val="24"/>
          <w:szCs w:val="24"/>
        </w:rPr>
        <w:t>（产废单位）</w:t>
      </w:r>
    </w:p>
    <w:p w14:paraId="6FD9B9DA">
      <w:pPr>
        <w:spacing w:line="400" w:lineRule="exact"/>
        <w:rPr>
          <w:rFonts w:ascii="仿宋_GB2312" w:hAnsi="仿宋_GB2312" w:eastAsia="仿宋_GB2312"/>
          <w:sz w:val="28"/>
          <w:szCs w:val="28"/>
        </w:rPr>
      </w:pPr>
      <w:r>
        <w:rPr>
          <w:rFonts w:hint="eastAsia" w:ascii="仿宋" w:hAnsi="仿宋" w:eastAsia="仿宋"/>
          <w:sz w:val="28"/>
          <w:szCs w:val="28"/>
        </w:rPr>
        <w:t>乙方：</w:t>
      </w:r>
      <w:r>
        <w:rPr>
          <w:rFonts w:hint="eastAsia" w:ascii="仿宋" w:hAnsi="仿宋" w:eastAsia="仿宋"/>
          <w:sz w:val="28"/>
          <w:szCs w:val="28"/>
          <w:u w:val="single"/>
          <w:lang w:val="en-US" w:eastAsia="zh-CN"/>
        </w:rPr>
        <w:t xml:space="preserve">                              </w:t>
      </w:r>
      <w:r>
        <w:rPr>
          <w:rFonts w:hint="eastAsia" w:ascii="仿宋" w:hAnsi="仿宋" w:eastAsia="仿宋"/>
          <w:sz w:val="24"/>
          <w:szCs w:val="24"/>
        </w:rPr>
        <w:t>（处置单位）</w:t>
      </w:r>
    </w:p>
    <w:p w14:paraId="5C23A77C">
      <w:pPr>
        <w:spacing w:line="400" w:lineRule="exact"/>
        <w:ind w:firstLine="480"/>
        <w:rPr>
          <w:rFonts w:ascii="仿宋" w:hAnsi="仿宋" w:eastAsia="仿宋"/>
          <w:bCs/>
          <w:sz w:val="24"/>
          <w:szCs w:val="24"/>
        </w:rPr>
      </w:pPr>
    </w:p>
    <w:p w14:paraId="5BED442D">
      <w:pPr>
        <w:spacing w:line="400" w:lineRule="exact"/>
        <w:ind w:firstLine="480"/>
        <w:rPr>
          <w:rFonts w:ascii="黑体" w:hAnsi="黑体" w:eastAsia="黑体"/>
          <w:b/>
          <w:bCs/>
          <w:sz w:val="24"/>
          <w:szCs w:val="24"/>
        </w:rPr>
      </w:pPr>
      <w:r>
        <w:rPr>
          <w:rFonts w:hint="eastAsia" w:ascii="仿宋" w:hAnsi="仿宋" w:eastAsia="仿宋"/>
          <w:bCs/>
          <w:sz w:val="24"/>
          <w:szCs w:val="24"/>
        </w:rPr>
        <w:t xml:space="preserve"> 根据《中华人民共和国民法典》、《中华人民共和国环境保护法》、《中华人民共和国固体废物污染环境防治法》、《危险废物转移管理办法》及相关标准和技术规范</w:t>
      </w:r>
      <w:r>
        <w:rPr>
          <w:rFonts w:ascii="仿宋" w:hAnsi="仿宋" w:eastAsia="仿宋"/>
          <w:bCs/>
          <w:sz w:val="24"/>
          <w:szCs w:val="24"/>
        </w:rPr>
        <w:t>,</w:t>
      </w:r>
      <w:r>
        <w:rPr>
          <w:rFonts w:hint="eastAsia" w:ascii="仿宋" w:hAnsi="仿宋" w:eastAsia="仿宋"/>
          <w:bCs/>
          <w:sz w:val="24"/>
          <w:szCs w:val="24"/>
        </w:rPr>
        <w:t>甲、乙双方</w:t>
      </w:r>
      <w:r>
        <w:rPr>
          <w:rFonts w:ascii="仿宋" w:hAnsi="仿宋" w:eastAsia="仿宋"/>
          <w:bCs/>
          <w:sz w:val="24"/>
          <w:szCs w:val="24"/>
        </w:rPr>
        <w:t>本着平等</w:t>
      </w:r>
      <w:r>
        <w:rPr>
          <w:rFonts w:hint="eastAsia" w:ascii="仿宋" w:hAnsi="仿宋" w:eastAsia="仿宋"/>
          <w:bCs/>
          <w:sz w:val="24"/>
          <w:szCs w:val="24"/>
        </w:rPr>
        <w:t>、</w:t>
      </w:r>
      <w:r>
        <w:rPr>
          <w:rFonts w:ascii="仿宋" w:hAnsi="仿宋" w:eastAsia="仿宋"/>
          <w:bCs/>
          <w:sz w:val="24"/>
          <w:szCs w:val="24"/>
        </w:rPr>
        <w:t>自愿的原则</w:t>
      </w:r>
      <w:r>
        <w:rPr>
          <w:rFonts w:hint="eastAsia" w:ascii="仿宋" w:hAnsi="仿宋" w:eastAsia="仿宋"/>
          <w:bCs/>
          <w:sz w:val="24"/>
          <w:szCs w:val="24"/>
        </w:rPr>
        <w:t>，经充分沟通、友好协商，就甲方生产经营活动产生的危险废物（含包装物）由乙方实施安全处置服务事宜，达成如下协议：</w:t>
      </w:r>
    </w:p>
    <w:p w14:paraId="41B9C170">
      <w:pPr>
        <w:spacing w:line="400" w:lineRule="exact"/>
        <w:ind w:firstLine="560" w:firstLineChars="200"/>
        <w:rPr>
          <w:rFonts w:ascii="黑体" w:hAnsi="黑体" w:eastAsia="黑体" w:cs="黑体"/>
          <w:sz w:val="28"/>
          <w:szCs w:val="28"/>
        </w:rPr>
      </w:pPr>
      <w:r>
        <w:rPr>
          <w:rFonts w:hint="eastAsia" w:ascii="黑体" w:hAnsi="黑体" w:eastAsia="黑体" w:cs="黑体"/>
          <w:sz w:val="28"/>
          <w:szCs w:val="28"/>
        </w:rPr>
        <w:t>第一条  服务内容（根据实际情况勾选“</w:t>
      </w:r>
      <w:r>
        <w:rPr>
          <w:rFonts w:hint="eastAsia" w:ascii="MS Gothic" w:hAnsi="MS Gothic" w:eastAsia="MS Gothic" w:cs="MS Gothic"/>
          <w:bCs/>
          <w:kern w:val="1"/>
          <w:sz w:val="28"/>
          <w:szCs w:val="28"/>
        </w:rPr>
        <w:t>☑</w:t>
      </w:r>
      <w:r>
        <w:rPr>
          <w:rFonts w:hint="eastAsia" w:ascii="黑体" w:hAnsi="黑体" w:eastAsia="黑体" w:cs="黑体"/>
          <w:sz w:val="28"/>
          <w:szCs w:val="28"/>
        </w:rPr>
        <w:t>”）</w:t>
      </w:r>
    </w:p>
    <w:p w14:paraId="471B2222">
      <w:pPr>
        <w:spacing w:line="400" w:lineRule="exact"/>
        <w:ind w:firstLine="560" w:firstLineChars="200"/>
        <w:rPr>
          <w:rFonts w:ascii="楷体" w:hAnsi="楷体" w:eastAsia="楷体" w:cs="楷体"/>
          <w:bCs/>
          <w:kern w:val="1"/>
          <w:sz w:val="28"/>
          <w:szCs w:val="28"/>
        </w:rPr>
      </w:pPr>
      <w:r>
        <w:rPr>
          <w:rFonts w:hint="eastAsia" w:ascii="楷体" w:hAnsi="楷体" w:eastAsia="楷体" w:cs="楷体"/>
          <w:bCs/>
          <w:kern w:val="1"/>
          <w:sz w:val="28"/>
          <w:szCs w:val="28"/>
        </w:rPr>
        <w:t>（一）</w:t>
      </w:r>
      <w:r>
        <w:rPr>
          <w:rFonts w:hint="eastAsia" w:ascii="MS Gothic" w:hAnsi="MS Gothic" w:eastAsia="MS Gothic" w:cs="MS Gothic"/>
          <w:bCs/>
          <w:kern w:val="1"/>
          <w:sz w:val="28"/>
          <w:szCs w:val="28"/>
        </w:rPr>
        <w:t>☑</w:t>
      </w:r>
      <w:r>
        <w:rPr>
          <w:rFonts w:hint="eastAsia" w:ascii="楷体" w:hAnsi="楷体" w:eastAsia="楷体" w:cs="楷体"/>
          <w:bCs/>
          <w:kern w:val="1"/>
          <w:sz w:val="28"/>
          <w:szCs w:val="28"/>
        </w:rPr>
        <w:t>危废处置</w:t>
      </w:r>
    </w:p>
    <w:p w14:paraId="068412CF">
      <w:pPr>
        <w:spacing w:line="400" w:lineRule="exact"/>
        <w:ind w:firstLine="480" w:firstLineChars="200"/>
        <w:jc w:val="left"/>
        <w:rPr>
          <w:rFonts w:ascii="仿宋" w:hAnsi="仿宋" w:eastAsia="仿宋"/>
          <w:bCs/>
          <w:sz w:val="24"/>
          <w:szCs w:val="24"/>
        </w:rPr>
      </w:pPr>
      <w:r>
        <w:rPr>
          <w:rFonts w:hint="eastAsia" w:ascii="仿宋" w:hAnsi="仿宋" w:eastAsia="仿宋"/>
          <w:bCs/>
          <w:sz w:val="24"/>
          <w:szCs w:val="24"/>
        </w:rPr>
        <w:t>乙方处置甲方在生产经营活动中产生的危险废物及包装物。</w:t>
      </w:r>
    </w:p>
    <w:p w14:paraId="56E20BEB">
      <w:pPr>
        <w:spacing w:line="400" w:lineRule="exact"/>
        <w:ind w:firstLine="560" w:firstLineChars="200"/>
        <w:rPr>
          <w:rStyle w:val="24"/>
        </w:rPr>
      </w:pPr>
      <w:r>
        <w:rPr>
          <w:rFonts w:hint="eastAsia" w:ascii="楷体" w:hAnsi="楷体" w:eastAsia="楷体" w:cs="楷体"/>
          <w:bCs/>
          <w:kern w:val="1"/>
          <w:sz w:val="28"/>
          <w:szCs w:val="28"/>
        </w:rPr>
        <w:t>（二）</w:t>
      </w:r>
      <w:r>
        <w:rPr>
          <w:rFonts w:hint="eastAsia" w:ascii="MS Gothic" w:hAnsi="MS Gothic" w:eastAsia="MS Gothic" w:cs="MS Gothic"/>
          <w:bCs/>
          <w:kern w:val="1"/>
          <w:sz w:val="28"/>
          <w:szCs w:val="28"/>
        </w:rPr>
        <w:t>☑</w:t>
      </w:r>
      <w:r>
        <w:rPr>
          <w:rFonts w:hint="eastAsia" w:ascii="楷体" w:hAnsi="楷体" w:eastAsia="楷体" w:cs="楷体"/>
          <w:bCs/>
          <w:kern w:val="1"/>
          <w:sz w:val="28"/>
          <w:szCs w:val="28"/>
        </w:rPr>
        <w:t>危废运输</w:t>
      </w:r>
    </w:p>
    <w:p w14:paraId="15C543F5">
      <w:pPr>
        <w:spacing w:line="400" w:lineRule="exact"/>
        <w:ind w:firstLine="480" w:firstLineChars="200"/>
        <w:rPr>
          <w:rFonts w:ascii="仿宋" w:hAnsi="仿宋" w:eastAsia="仿宋"/>
          <w:bCs/>
          <w:sz w:val="24"/>
          <w:szCs w:val="24"/>
        </w:rPr>
      </w:pPr>
      <w:r>
        <w:rPr>
          <w:rFonts w:hint="eastAsia" w:ascii="仿宋" w:hAnsi="仿宋" w:eastAsia="仿宋"/>
          <w:bCs/>
          <w:sz w:val="24"/>
          <w:szCs w:val="24"/>
        </w:rPr>
        <w:t>乙方承担危废运输或委托有资质的运输单位运输。</w:t>
      </w:r>
    </w:p>
    <w:p w14:paraId="6EC5FE36">
      <w:pPr>
        <w:spacing w:line="400" w:lineRule="exact"/>
        <w:ind w:firstLine="560" w:firstLineChars="200"/>
        <w:rPr>
          <w:rFonts w:ascii="楷体" w:hAnsi="楷体" w:eastAsia="楷体" w:cs="楷体"/>
          <w:bCs/>
          <w:kern w:val="1"/>
          <w:sz w:val="28"/>
          <w:szCs w:val="28"/>
        </w:rPr>
      </w:pPr>
      <w:r>
        <w:rPr>
          <w:rFonts w:hint="eastAsia" w:ascii="楷体" w:hAnsi="楷体" w:eastAsia="楷体" w:cs="楷体"/>
          <w:bCs/>
          <w:kern w:val="1"/>
          <w:sz w:val="28"/>
          <w:szCs w:val="28"/>
        </w:rPr>
        <w:t>（三）</w:t>
      </w:r>
      <w:r>
        <w:rPr>
          <w:rFonts w:hint="eastAsia" w:ascii="MS Gothic" w:hAnsi="MS Gothic" w:cs="MS Gothic"/>
          <w:bCs/>
          <w:kern w:val="1"/>
          <w:sz w:val="28"/>
          <w:szCs w:val="28"/>
          <w:lang w:eastAsia="zh-CN"/>
        </w:rPr>
        <w:t>□</w:t>
      </w:r>
      <w:r>
        <w:rPr>
          <w:rFonts w:hint="eastAsia" w:ascii="楷体" w:hAnsi="楷体" w:eastAsia="楷体" w:cs="楷体"/>
          <w:bCs/>
          <w:kern w:val="1"/>
          <w:sz w:val="28"/>
          <w:szCs w:val="28"/>
        </w:rPr>
        <w:t>危废装车</w:t>
      </w:r>
    </w:p>
    <w:p w14:paraId="2B4A0E50">
      <w:pPr>
        <w:spacing w:line="400" w:lineRule="exact"/>
        <w:ind w:firstLine="480"/>
        <w:rPr>
          <w:rFonts w:ascii="仿宋" w:hAnsi="仿宋" w:eastAsia="仿宋"/>
          <w:bCs/>
          <w:spacing w:val="-6"/>
          <w:sz w:val="24"/>
          <w:szCs w:val="24"/>
        </w:rPr>
      </w:pPr>
      <w:r>
        <w:rPr>
          <w:rFonts w:hint="eastAsia" w:ascii="仿宋" w:hAnsi="仿宋" w:eastAsia="仿宋"/>
          <w:bCs/>
          <w:sz w:val="24"/>
          <w:szCs w:val="24"/>
        </w:rPr>
        <w:t>装车由乙方承担，装车地点：</w:t>
      </w:r>
      <w:r>
        <w:rPr>
          <w:rFonts w:hint="eastAsia" w:ascii="仿宋" w:hAnsi="仿宋" w:eastAsia="仿宋"/>
          <w:b w:val="0"/>
          <w:bCs w:val="0"/>
          <w:color w:val="auto"/>
          <w:sz w:val="28"/>
          <w:szCs w:val="28"/>
          <w:u w:val="single"/>
          <w:lang w:val="en-US" w:eastAsia="zh-CN"/>
        </w:rPr>
        <w:t xml:space="preserve">                              </w:t>
      </w:r>
      <w:r>
        <w:rPr>
          <w:rFonts w:hint="eastAsia" w:ascii="仿宋" w:hAnsi="仿宋" w:eastAsia="仿宋"/>
          <w:bCs/>
          <w:sz w:val="24"/>
          <w:szCs w:val="24"/>
        </w:rPr>
        <w:t>。</w:t>
      </w:r>
    </w:p>
    <w:p w14:paraId="6808AAE2">
      <w:pPr>
        <w:spacing w:line="400" w:lineRule="exact"/>
        <w:ind w:firstLine="560" w:firstLineChars="200"/>
        <w:jc w:val="left"/>
        <w:rPr>
          <w:rFonts w:ascii="楷体" w:hAnsi="楷体" w:eastAsia="楷体" w:cs="楷体"/>
          <w:bCs/>
          <w:kern w:val="1"/>
          <w:sz w:val="28"/>
          <w:szCs w:val="28"/>
        </w:rPr>
      </w:pPr>
      <w:r>
        <w:rPr>
          <w:rFonts w:hint="eastAsia" w:ascii="楷体" w:hAnsi="楷体" w:eastAsia="楷体" w:cs="楷体"/>
          <w:bCs/>
          <w:kern w:val="1"/>
          <w:sz w:val="28"/>
          <w:szCs w:val="28"/>
        </w:rPr>
        <w:t>（四）□危废清理</w:t>
      </w:r>
    </w:p>
    <w:p w14:paraId="06020F05">
      <w:pPr>
        <w:spacing w:line="400" w:lineRule="exact"/>
        <w:ind w:firstLine="480" w:firstLineChars="200"/>
        <w:jc w:val="left"/>
        <w:rPr>
          <w:rFonts w:ascii="仿宋" w:hAnsi="仿宋" w:eastAsia="仿宋"/>
          <w:bCs/>
          <w:sz w:val="24"/>
          <w:szCs w:val="24"/>
        </w:rPr>
      </w:pPr>
      <w:r>
        <w:rPr>
          <w:rFonts w:hint="eastAsia" w:ascii="仿宋" w:hAnsi="仿宋" w:eastAsia="仿宋"/>
          <w:bCs/>
          <w:sz w:val="24"/>
          <w:szCs w:val="24"/>
        </w:rPr>
        <w:t>乙方对甲方暂存库内拟委托处置危废进行清理、分类。</w:t>
      </w:r>
    </w:p>
    <w:p w14:paraId="73596D83">
      <w:pPr>
        <w:spacing w:line="400" w:lineRule="exact"/>
        <w:ind w:firstLine="480" w:firstLineChars="200"/>
        <w:jc w:val="left"/>
        <w:rPr>
          <w:rFonts w:ascii="仿宋" w:hAnsi="仿宋" w:eastAsia="仿宋"/>
          <w:bCs/>
          <w:sz w:val="24"/>
          <w:szCs w:val="24"/>
        </w:rPr>
      </w:pPr>
      <w:r>
        <w:rPr>
          <w:rFonts w:hint="eastAsia" w:ascii="仿宋" w:hAnsi="仿宋" w:eastAsia="仿宋"/>
          <w:bCs/>
          <w:sz w:val="24"/>
          <w:szCs w:val="24"/>
        </w:rPr>
        <w:t>甲方危废暂存点：</w:t>
      </w:r>
      <w:r>
        <w:rPr>
          <w:rFonts w:hint="eastAsia" w:ascii="仿宋" w:hAnsi="仿宋" w:eastAsia="仿宋"/>
          <w:bCs/>
          <w:color w:val="auto"/>
          <w:sz w:val="24"/>
          <w:szCs w:val="24"/>
          <w:u w:val="single"/>
          <w:lang w:val="en-US" w:eastAsia="zh-CN"/>
        </w:rPr>
        <w:t xml:space="preserve">          /          </w:t>
      </w:r>
      <w:r>
        <w:rPr>
          <w:rFonts w:hint="eastAsia" w:ascii="仿宋" w:hAnsi="仿宋" w:eastAsia="仿宋"/>
          <w:bCs/>
          <w:sz w:val="24"/>
          <w:szCs w:val="24"/>
        </w:rPr>
        <w:t>。</w:t>
      </w:r>
    </w:p>
    <w:p w14:paraId="21DC4988">
      <w:pPr>
        <w:spacing w:line="400" w:lineRule="exact"/>
        <w:ind w:firstLine="560" w:firstLineChars="200"/>
        <w:rPr>
          <w:rFonts w:ascii="楷体" w:hAnsi="楷体" w:eastAsia="楷体" w:cs="楷体"/>
          <w:bCs/>
          <w:kern w:val="1"/>
          <w:sz w:val="28"/>
          <w:szCs w:val="28"/>
        </w:rPr>
      </w:pPr>
      <w:r>
        <w:rPr>
          <w:rFonts w:hint="eastAsia" w:ascii="楷体" w:hAnsi="楷体" w:eastAsia="楷体" w:cs="楷体"/>
          <w:bCs/>
          <w:kern w:val="1"/>
          <w:sz w:val="28"/>
          <w:szCs w:val="28"/>
        </w:rPr>
        <w:t>（五）□包装材料</w:t>
      </w:r>
    </w:p>
    <w:p w14:paraId="4B2584B6">
      <w:pPr>
        <w:spacing w:line="400" w:lineRule="exact"/>
        <w:ind w:firstLine="480" w:firstLineChars="200"/>
        <w:rPr>
          <w:rFonts w:ascii="仿宋" w:hAnsi="仿宋" w:eastAsia="仿宋"/>
          <w:bCs/>
          <w:sz w:val="24"/>
          <w:szCs w:val="24"/>
        </w:rPr>
      </w:pPr>
      <w:r>
        <w:rPr>
          <w:rFonts w:hint="eastAsia" w:ascii="仿宋" w:hAnsi="仿宋" w:eastAsia="仿宋"/>
          <w:bCs/>
          <w:sz w:val="24"/>
          <w:szCs w:val="24"/>
        </w:rPr>
        <w:t>乙方对甲方拟委托处置危废破损包装器具进行一次性包装或提供包装物。</w:t>
      </w:r>
    </w:p>
    <w:p w14:paraId="5179FD79">
      <w:pPr>
        <w:spacing w:line="400" w:lineRule="exact"/>
        <w:ind w:firstLine="560" w:firstLineChars="200"/>
        <w:rPr>
          <w:rFonts w:ascii="楷体" w:hAnsi="楷体" w:eastAsia="楷体" w:cs="楷体"/>
          <w:bCs/>
          <w:kern w:val="1"/>
          <w:sz w:val="28"/>
          <w:szCs w:val="28"/>
        </w:rPr>
      </w:pPr>
      <w:r>
        <w:rPr>
          <w:rFonts w:hint="eastAsia" w:ascii="楷体" w:hAnsi="楷体" w:eastAsia="楷体" w:cs="楷体"/>
          <w:bCs/>
          <w:kern w:val="1"/>
          <w:sz w:val="28"/>
          <w:szCs w:val="28"/>
        </w:rPr>
        <w:t>（六）□其他</w:t>
      </w:r>
    </w:p>
    <w:p w14:paraId="1C5D1C75">
      <w:pPr>
        <w:spacing w:line="400" w:lineRule="exact"/>
        <w:ind w:firstLine="480" w:firstLineChars="200"/>
        <w:rPr>
          <w:rFonts w:ascii="仿宋" w:hAnsi="仿宋" w:eastAsia="仿宋"/>
          <w:bCs/>
          <w:sz w:val="24"/>
          <w:szCs w:val="24"/>
        </w:rPr>
      </w:pPr>
      <w:r>
        <w:rPr>
          <w:rFonts w:hint="eastAsia" w:ascii="仿宋" w:hAnsi="仿宋" w:eastAsia="仿宋"/>
          <w:bCs/>
          <w:sz w:val="24"/>
          <w:szCs w:val="24"/>
        </w:rPr>
        <w:t>甲方委托乙方处理的事项</w:t>
      </w:r>
      <w:r>
        <w:rPr>
          <w:rFonts w:hint="eastAsia" w:ascii="仿宋" w:hAnsi="仿宋" w:eastAsia="仿宋"/>
          <w:bCs/>
          <w:sz w:val="24"/>
          <w:szCs w:val="24"/>
          <w:u w:val="single"/>
        </w:rPr>
        <w:t xml:space="preserve">          /           </w:t>
      </w:r>
      <w:r>
        <w:rPr>
          <w:rFonts w:hint="eastAsia" w:ascii="仿宋" w:hAnsi="仿宋" w:eastAsia="仿宋"/>
          <w:bCs/>
          <w:sz w:val="24"/>
          <w:szCs w:val="24"/>
        </w:rPr>
        <w:t>。</w:t>
      </w:r>
    </w:p>
    <w:p w14:paraId="3270984A">
      <w:pPr>
        <w:spacing w:line="400" w:lineRule="exact"/>
        <w:ind w:firstLine="480" w:firstLineChars="200"/>
        <w:rPr>
          <w:rFonts w:ascii="仿宋" w:hAnsi="仿宋" w:eastAsia="仿宋"/>
          <w:bCs/>
          <w:sz w:val="24"/>
          <w:szCs w:val="24"/>
        </w:rPr>
      </w:pPr>
      <w:r>
        <w:rPr>
          <w:rFonts w:hint="eastAsia" w:ascii="仿宋" w:hAnsi="仿宋" w:eastAsia="仿宋"/>
          <w:sz w:val="24"/>
          <w:szCs w:val="24"/>
        </w:rPr>
        <w:t>注：以上未勾选事项，由甲方自理。</w:t>
      </w:r>
    </w:p>
    <w:p w14:paraId="27D35F67">
      <w:pPr>
        <w:spacing w:line="400" w:lineRule="exact"/>
        <w:ind w:firstLine="560" w:firstLineChars="200"/>
        <w:rPr>
          <w:rFonts w:ascii="黑体" w:hAnsi="黑体" w:eastAsia="黑体"/>
          <w:sz w:val="28"/>
          <w:szCs w:val="28"/>
        </w:rPr>
      </w:pPr>
      <w:r>
        <w:rPr>
          <w:rFonts w:hint="eastAsia" w:ascii="黑体" w:hAnsi="黑体" w:eastAsia="黑体"/>
          <w:sz w:val="28"/>
          <w:szCs w:val="28"/>
        </w:rPr>
        <w:t>第二条  合同期限</w:t>
      </w:r>
    </w:p>
    <w:p w14:paraId="6776037C">
      <w:pPr>
        <w:widowControl/>
        <w:spacing w:line="400" w:lineRule="exact"/>
        <w:ind w:firstLine="480" w:firstLineChars="200"/>
        <w:jc w:val="left"/>
        <w:rPr>
          <w:rFonts w:ascii="黑体" w:hAnsi="黑体" w:eastAsia="黑体"/>
          <w:bCs/>
          <w:sz w:val="24"/>
          <w:szCs w:val="24"/>
        </w:rPr>
      </w:pPr>
      <w:r>
        <w:rPr>
          <w:rFonts w:hint="eastAsia" w:ascii="仿宋" w:hAnsi="仿宋" w:eastAsia="仿宋"/>
          <w:bCs/>
          <w:sz w:val="24"/>
          <w:szCs w:val="24"/>
        </w:rPr>
        <w:t>本合同</w:t>
      </w:r>
      <w:r>
        <w:rPr>
          <w:rFonts w:hint="eastAsia" w:ascii="仿宋" w:hAnsi="仿宋" w:eastAsia="仿宋"/>
          <w:bCs/>
          <w:sz w:val="24"/>
          <w:szCs w:val="24"/>
          <w:lang w:val="en-US" w:eastAsia="zh-CN"/>
        </w:rPr>
        <w:t>服务期限为</w:t>
      </w:r>
      <w:r>
        <w:rPr>
          <w:rFonts w:hint="eastAsia" w:ascii="仿宋" w:hAnsi="仿宋" w:eastAsia="仿宋" w:cs="仿宋"/>
          <w:bCs/>
          <w:sz w:val="24"/>
          <w:szCs w:val="24"/>
          <w:u w:val="single"/>
          <w:lang w:val="en-US" w:eastAsia="zh-CN"/>
        </w:rPr>
        <w:t xml:space="preserve">     </w:t>
      </w:r>
      <w:r>
        <w:rPr>
          <w:rFonts w:hint="eastAsia" w:ascii="仿宋" w:hAnsi="仿宋" w:eastAsia="仿宋"/>
          <w:bCs/>
          <w:sz w:val="24"/>
          <w:szCs w:val="24"/>
        </w:rPr>
        <w:t>年</w:t>
      </w:r>
      <w:r>
        <w:rPr>
          <w:rFonts w:hint="eastAsia" w:ascii="仿宋" w:hAnsi="仿宋" w:eastAsia="仿宋"/>
          <w:bCs/>
          <w:sz w:val="24"/>
          <w:szCs w:val="24"/>
          <w:u w:val="single"/>
          <w:lang w:val="en-US" w:eastAsia="zh-CN"/>
        </w:rPr>
        <w:t xml:space="preserve">    </w:t>
      </w:r>
      <w:r>
        <w:rPr>
          <w:rFonts w:hint="eastAsia" w:ascii="仿宋" w:hAnsi="仿宋" w:eastAsia="仿宋"/>
          <w:bCs/>
          <w:sz w:val="24"/>
          <w:szCs w:val="24"/>
        </w:rPr>
        <w:t>月</w:t>
      </w:r>
      <w:r>
        <w:rPr>
          <w:rFonts w:hint="eastAsia" w:ascii="仿宋" w:hAnsi="仿宋" w:eastAsia="仿宋" w:cs="仿宋"/>
          <w:bCs/>
          <w:sz w:val="24"/>
          <w:szCs w:val="24"/>
          <w:u w:val="single"/>
          <w:lang w:val="en-US" w:eastAsia="zh-CN"/>
        </w:rPr>
        <w:t xml:space="preserve">   </w:t>
      </w:r>
      <w:r>
        <w:rPr>
          <w:rFonts w:hint="eastAsia" w:ascii="仿宋" w:hAnsi="仿宋" w:eastAsia="仿宋"/>
          <w:bCs/>
          <w:sz w:val="24"/>
          <w:szCs w:val="24"/>
        </w:rPr>
        <w:t>日</w:t>
      </w:r>
      <w:r>
        <w:rPr>
          <w:rFonts w:hint="eastAsia" w:ascii="仿宋" w:hAnsi="仿宋" w:eastAsia="仿宋"/>
          <w:bCs/>
          <w:sz w:val="24"/>
          <w:szCs w:val="24"/>
          <w:lang w:val="en-US" w:eastAsia="zh-CN"/>
        </w:rPr>
        <w:t>-</w:t>
      </w:r>
      <w:r>
        <w:rPr>
          <w:rFonts w:hint="eastAsia" w:ascii="仿宋" w:hAnsi="仿宋" w:eastAsia="仿宋" w:cs="仿宋"/>
          <w:bCs/>
          <w:sz w:val="24"/>
          <w:szCs w:val="24"/>
          <w:u w:val="single"/>
          <w:lang w:val="en-US" w:eastAsia="zh-CN"/>
        </w:rPr>
        <w:t xml:space="preserve">     </w:t>
      </w:r>
      <w:r>
        <w:rPr>
          <w:rFonts w:hint="eastAsia" w:ascii="仿宋" w:hAnsi="仿宋" w:eastAsia="仿宋"/>
          <w:bCs/>
          <w:sz w:val="24"/>
          <w:szCs w:val="24"/>
        </w:rPr>
        <w:t>年</w:t>
      </w:r>
      <w:r>
        <w:rPr>
          <w:rFonts w:hint="eastAsia" w:ascii="仿宋" w:hAnsi="仿宋" w:eastAsia="仿宋"/>
          <w:bCs/>
          <w:sz w:val="24"/>
          <w:szCs w:val="24"/>
          <w:u w:val="single"/>
          <w:lang w:val="en-US" w:eastAsia="zh-CN"/>
        </w:rPr>
        <w:t xml:space="preserve">    </w:t>
      </w:r>
      <w:r>
        <w:rPr>
          <w:rFonts w:hint="eastAsia" w:ascii="仿宋" w:hAnsi="仿宋" w:eastAsia="仿宋"/>
          <w:bCs/>
          <w:sz w:val="24"/>
          <w:szCs w:val="24"/>
        </w:rPr>
        <w:t>月</w:t>
      </w:r>
      <w:r>
        <w:rPr>
          <w:rFonts w:hint="eastAsia" w:ascii="仿宋" w:hAnsi="仿宋" w:eastAsia="仿宋" w:cs="仿宋"/>
          <w:bCs/>
          <w:sz w:val="24"/>
          <w:szCs w:val="24"/>
          <w:u w:val="single"/>
          <w:lang w:val="en-US" w:eastAsia="zh-CN"/>
        </w:rPr>
        <w:t xml:space="preserve">   </w:t>
      </w:r>
      <w:r>
        <w:rPr>
          <w:rFonts w:hint="eastAsia" w:ascii="仿宋" w:hAnsi="仿宋" w:eastAsia="仿宋"/>
          <w:bCs/>
          <w:sz w:val="24"/>
          <w:szCs w:val="24"/>
        </w:rPr>
        <w:t>日，</w:t>
      </w:r>
      <w:r>
        <w:rPr>
          <w:rFonts w:hint="eastAsia" w:ascii="仿宋" w:hAnsi="仿宋" w:eastAsia="仿宋"/>
          <w:bCs/>
          <w:sz w:val="24"/>
          <w:szCs w:val="24"/>
          <w:lang w:val="en-US" w:eastAsia="zh-CN"/>
        </w:rPr>
        <w:t>合同期限一年，根据考核可选择续签没续签最多不超过两次（含两次）</w:t>
      </w:r>
      <w:r>
        <w:rPr>
          <w:rFonts w:hint="eastAsia" w:ascii="仿宋" w:hAnsi="仿宋" w:eastAsia="仿宋"/>
          <w:bCs/>
          <w:sz w:val="24"/>
          <w:szCs w:val="24"/>
        </w:rPr>
        <w:t>。</w:t>
      </w:r>
    </w:p>
    <w:p w14:paraId="77CA356A">
      <w:pPr>
        <w:spacing w:line="400" w:lineRule="exact"/>
        <w:ind w:firstLine="560" w:firstLineChars="200"/>
        <w:rPr>
          <w:rFonts w:ascii="黑体" w:hAnsi="黑体" w:eastAsia="黑体"/>
          <w:bCs/>
          <w:sz w:val="28"/>
          <w:szCs w:val="28"/>
        </w:rPr>
      </w:pPr>
      <w:r>
        <w:rPr>
          <w:rFonts w:hint="eastAsia" w:ascii="黑体" w:hAnsi="黑体" w:eastAsia="黑体"/>
          <w:sz w:val="28"/>
          <w:szCs w:val="28"/>
        </w:rPr>
        <w:t>第三条  服务报酬（根据实际情况勾选“</w:t>
      </w:r>
      <w:r>
        <w:rPr>
          <w:rFonts w:hint="eastAsia" w:ascii="Meiryo" w:hAnsi="Meiryo" w:eastAsia="Meiryo" w:cs="Meiryo"/>
          <w:sz w:val="28"/>
          <w:szCs w:val="28"/>
        </w:rPr>
        <w:t>☑</w:t>
      </w:r>
      <w:r>
        <w:rPr>
          <w:rFonts w:hint="eastAsia" w:ascii="黑体" w:hAnsi="黑体" w:eastAsia="黑体"/>
          <w:sz w:val="28"/>
          <w:szCs w:val="28"/>
        </w:rPr>
        <w:t>”）</w:t>
      </w:r>
    </w:p>
    <w:p w14:paraId="6491201E">
      <w:pPr>
        <w:pStyle w:val="21"/>
        <w:pBdr>
          <w:left w:val="none" w:color="000000" w:sz="0" w:space="0"/>
        </w:pBdr>
        <w:spacing w:line="400" w:lineRule="exact"/>
        <w:ind w:firstLine="480" w:firstLineChars="200"/>
        <w:rPr>
          <w:rFonts w:hint="eastAsia" w:ascii="仿宋" w:hAnsi="仿宋" w:eastAsia="仿宋"/>
          <w:bCs/>
          <w:sz w:val="28"/>
          <w:szCs w:val="28"/>
          <w:lang w:val="en-US" w:eastAsia="zh-CN"/>
        </w:rPr>
      </w:pPr>
      <w:r>
        <w:rPr>
          <w:rFonts w:hint="eastAsia" w:ascii="仿宋" w:hAnsi="仿宋" w:eastAsia="仿宋"/>
          <w:bCs/>
          <w:sz w:val="24"/>
          <w:szCs w:val="24"/>
        </w:rPr>
        <w:t>本次服务费采用下列第</w:t>
      </w:r>
      <w:r>
        <w:rPr>
          <w:rFonts w:hint="eastAsia"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hint="eastAsia" w:ascii="仿宋" w:hAnsi="仿宋" w:eastAsia="仿宋"/>
          <w:bCs/>
          <w:color w:val="auto"/>
          <w:sz w:val="24"/>
          <w:szCs w:val="24"/>
          <w:u w:val="single"/>
          <w:lang w:val="en-US" w:eastAsia="zh-CN"/>
        </w:rPr>
        <w:t>(二)</w:t>
      </w:r>
      <w:r>
        <w:rPr>
          <w:rFonts w:hint="eastAsia" w:ascii="仿宋" w:hAnsi="仿宋" w:eastAsia="仿宋"/>
          <w:bCs/>
          <w:sz w:val="24"/>
          <w:szCs w:val="24"/>
          <w:u w:val="single"/>
        </w:rPr>
        <w:t xml:space="preserve">  </w:t>
      </w:r>
      <w:r>
        <w:rPr>
          <w:rFonts w:hint="eastAsia" w:ascii="仿宋" w:hAnsi="仿宋" w:eastAsia="仿宋"/>
          <w:bCs/>
          <w:sz w:val="24"/>
          <w:szCs w:val="24"/>
        </w:rPr>
        <w:t>种价格方式。</w:t>
      </w:r>
    </w:p>
    <w:p w14:paraId="1007F6AA">
      <w:pPr>
        <w:pStyle w:val="21"/>
        <w:numPr>
          <w:ilvl w:val="0"/>
          <w:numId w:val="2"/>
        </w:numPr>
        <w:pBdr>
          <w:left w:val="none" w:color="000000" w:sz="0" w:space="0"/>
        </w:pBdr>
        <w:spacing w:line="4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分项价格</w:t>
      </w:r>
    </w:p>
    <w:p w14:paraId="0C9D0E4E">
      <w:pPr>
        <w:pStyle w:val="21"/>
        <w:pBdr>
          <w:left w:val="none" w:color="000000" w:sz="0" w:space="0"/>
        </w:pBd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_GB2312" w:hAnsi="宋体" w:eastAsia="仿宋_GB2312"/>
          <w:sz w:val="28"/>
          <w:szCs w:val="28"/>
        </w:rPr>
        <w:t xml:space="preserve"> □</w:t>
      </w:r>
      <w:r>
        <w:rPr>
          <w:rFonts w:hint="eastAsia" w:ascii="仿宋" w:hAnsi="仿宋" w:eastAsia="仿宋" w:cs="仿宋"/>
          <w:sz w:val="28"/>
          <w:szCs w:val="28"/>
        </w:rPr>
        <w:t>处置费</w:t>
      </w:r>
    </w:p>
    <w:p w14:paraId="6C513C92">
      <w:pPr>
        <w:pStyle w:val="21"/>
        <w:pBdr>
          <w:left w:val="none" w:color="000000" w:sz="0" w:space="0"/>
        </w:pBdr>
        <w:spacing w:line="400" w:lineRule="exact"/>
        <w:ind w:firstLine="480" w:firstLineChars="200"/>
        <w:rPr>
          <w:rFonts w:hint="eastAsia" w:ascii="楷体" w:hAnsi="楷体" w:eastAsia="仿宋" w:cs="楷体"/>
          <w:sz w:val="28"/>
          <w:szCs w:val="28"/>
          <w:lang w:val="en-US" w:eastAsia="zh-CN"/>
        </w:rPr>
      </w:pPr>
      <w:r>
        <w:rPr>
          <w:rFonts w:hint="eastAsia" w:ascii="仿宋" w:hAnsi="仿宋" w:eastAsia="仿宋"/>
          <w:bCs/>
          <w:sz w:val="24"/>
          <w:szCs w:val="24"/>
        </w:rPr>
        <w:t>甲乙双方协商同意危险废物处置价格如下</w:t>
      </w:r>
      <w:r>
        <w:rPr>
          <w:rFonts w:hint="eastAsia" w:ascii="仿宋" w:hAnsi="仿宋" w:eastAsia="仿宋"/>
          <w:bCs/>
          <w:sz w:val="24"/>
          <w:szCs w:val="24"/>
          <w:lang w:val="en-US" w:eastAsia="zh-CN"/>
        </w:rPr>
        <w:t>:</w:t>
      </w:r>
    </w:p>
    <w:p w14:paraId="7BAF690D">
      <w:pPr>
        <w:pStyle w:val="21"/>
        <w:pBdr>
          <w:left w:val="none" w:color="000000" w:sz="0" w:space="0"/>
        </w:pBdr>
        <w:spacing w:line="400" w:lineRule="exact"/>
        <w:ind w:left="0" w:leftChars="0" w:firstLine="0" w:firstLineChars="0"/>
        <w:rPr>
          <w:rFonts w:ascii="仿宋" w:hAnsi="仿宋" w:eastAsia="仿宋"/>
          <w:sz w:val="24"/>
          <w:szCs w:val="24"/>
        </w:rPr>
      </w:pPr>
      <w:r>
        <w:rPr>
          <w:rFonts w:hint="eastAsia" w:ascii="仿宋" w:hAnsi="仿宋" w:eastAsia="仿宋"/>
          <w:sz w:val="24"/>
          <w:szCs w:val="24"/>
        </w:rPr>
        <w:t>表3-1</w:t>
      </w:r>
    </w:p>
    <w:tbl>
      <w:tblPr>
        <w:tblStyle w:val="13"/>
        <w:tblpPr w:leftFromText="181" w:rightFromText="181" w:vertAnchor="text" w:horzAnchor="margin" w:tblpXSpec="center" w:tblpY="1"/>
        <w:tblOverlap w:val="never"/>
        <w:tblW w:w="9338" w:type="dxa"/>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350"/>
        <w:gridCol w:w="1318"/>
        <w:gridCol w:w="790"/>
        <w:gridCol w:w="1410"/>
        <w:gridCol w:w="1368"/>
        <w:gridCol w:w="1196"/>
        <w:gridCol w:w="1194"/>
      </w:tblGrid>
      <w:tr w14:paraId="554A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12" w:type="dxa"/>
            <w:tcBorders>
              <w:top w:val="single" w:color="auto" w:sz="4" w:space="0"/>
              <w:left w:val="single" w:color="auto" w:sz="4" w:space="0"/>
              <w:bottom w:val="single" w:color="auto" w:sz="4" w:space="0"/>
              <w:right w:val="single" w:color="auto" w:sz="4" w:space="0"/>
            </w:tcBorders>
            <w:vAlign w:val="center"/>
          </w:tcPr>
          <w:p w14:paraId="74D3C1B2">
            <w:pPr>
              <w:jc w:val="center"/>
              <w:rPr>
                <w:rFonts w:ascii="仿宋" w:hAnsi="仿宋" w:eastAsia="仿宋" w:cs="宋体"/>
                <w:kern w:val="2"/>
                <w:sz w:val="24"/>
                <w:szCs w:val="24"/>
              </w:rPr>
            </w:pPr>
            <w:r>
              <w:rPr>
                <w:rFonts w:hint="eastAsia" w:ascii="仿宋" w:hAnsi="仿宋" w:eastAsia="仿宋" w:cs="宋体"/>
                <w:sz w:val="24"/>
                <w:szCs w:val="24"/>
              </w:rPr>
              <w:t>序号</w:t>
            </w:r>
          </w:p>
        </w:tc>
        <w:tc>
          <w:tcPr>
            <w:tcW w:w="1350" w:type="dxa"/>
            <w:tcBorders>
              <w:top w:val="single" w:color="auto" w:sz="4" w:space="0"/>
              <w:left w:val="single" w:color="auto" w:sz="4" w:space="0"/>
              <w:bottom w:val="single" w:color="auto" w:sz="4" w:space="0"/>
              <w:right w:val="single" w:color="auto" w:sz="4" w:space="0"/>
            </w:tcBorders>
            <w:vAlign w:val="center"/>
          </w:tcPr>
          <w:p w14:paraId="42E88381">
            <w:pPr>
              <w:jc w:val="center"/>
              <w:rPr>
                <w:rFonts w:ascii="仿宋" w:hAnsi="仿宋" w:eastAsia="仿宋" w:cs="宋体"/>
                <w:kern w:val="2"/>
                <w:sz w:val="24"/>
                <w:szCs w:val="24"/>
              </w:rPr>
            </w:pPr>
            <w:r>
              <w:rPr>
                <w:rFonts w:hint="eastAsia" w:ascii="仿宋" w:hAnsi="仿宋" w:eastAsia="仿宋" w:cs="宋体"/>
                <w:sz w:val="24"/>
                <w:szCs w:val="24"/>
              </w:rPr>
              <w:t>废物代码</w:t>
            </w:r>
          </w:p>
        </w:tc>
        <w:tc>
          <w:tcPr>
            <w:tcW w:w="1318" w:type="dxa"/>
            <w:tcBorders>
              <w:top w:val="single" w:color="auto" w:sz="4" w:space="0"/>
              <w:left w:val="single" w:color="auto" w:sz="4" w:space="0"/>
              <w:bottom w:val="single" w:color="auto" w:sz="4" w:space="0"/>
              <w:right w:val="single" w:color="auto" w:sz="4" w:space="0"/>
            </w:tcBorders>
            <w:vAlign w:val="center"/>
          </w:tcPr>
          <w:p w14:paraId="6FA13520">
            <w:pPr>
              <w:jc w:val="center"/>
              <w:rPr>
                <w:rFonts w:ascii="仿宋" w:hAnsi="仿宋" w:eastAsia="仿宋" w:cs="宋体"/>
                <w:kern w:val="2"/>
                <w:sz w:val="24"/>
                <w:szCs w:val="24"/>
              </w:rPr>
            </w:pPr>
            <w:r>
              <w:rPr>
                <w:rFonts w:hint="eastAsia" w:ascii="仿宋" w:hAnsi="仿宋" w:eastAsia="仿宋" w:cs="宋体"/>
                <w:sz w:val="24"/>
                <w:szCs w:val="24"/>
              </w:rPr>
              <w:t>危废名称</w:t>
            </w:r>
          </w:p>
        </w:tc>
        <w:tc>
          <w:tcPr>
            <w:tcW w:w="790" w:type="dxa"/>
            <w:tcBorders>
              <w:top w:val="single" w:color="auto" w:sz="4" w:space="0"/>
              <w:left w:val="single" w:color="auto" w:sz="4" w:space="0"/>
              <w:bottom w:val="single" w:color="auto" w:sz="4" w:space="0"/>
              <w:right w:val="single" w:color="auto" w:sz="4" w:space="0"/>
            </w:tcBorders>
            <w:vAlign w:val="center"/>
          </w:tcPr>
          <w:p w14:paraId="55B9BBBC">
            <w:pPr>
              <w:jc w:val="center"/>
              <w:rPr>
                <w:rFonts w:ascii="仿宋" w:hAnsi="仿宋" w:eastAsia="仿宋" w:cs="宋体"/>
                <w:kern w:val="2"/>
                <w:sz w:val="24"/>
                <w:szCs w:val="24"/>
              </w:rPr>
            </w:pPr>
            <w:r>
              <w:rPr>
                <w:rFonts w:hint="eastAsia" w:ascii="仿宋" w:hAnsi="仿宋" w:eastAsia="仿宋" w:cs="宋体"/>
                <w:sz w:val="24"/>
                <w:szCs w:val="24"/>
              </w:rPr>
              <w:t>形态</w:t>
            </w:r>
          </w:p>
        </w:tc>
        <w:tc>
          <w:tcPr>
            <w:tcW w:w="1410" w:type="dxa"/>
            <w:tcBorders>
              <w:top w:val="single" w:color="auto" w:sz="4" w:space="0"/>
              <w:left w:val="single" w:color="auto" w:sz="4" w:space="0"/>
              <w:bottom w:val="single" w:color="auto" w:sz="4" w:space="0"/>
              <w:right w:val="single" w:color="auto" w:sz="4" w:space="0"/>
            </w:tcBorders>
            <w:vAlign w:val="center"/>
          </w:tcPr>
          <w:p w14:paraId="3E0565FB">
            <w:pPr>
              <w:jc w:val="center"/>
              <w:rPr>
                <w:rFonts w:ascii="仿宋" w:hAnsi="仿宋" w:eastAsia="仿宋" w:cs="宋体"/>
                <w:kern w:val="2"/>
                <w:sz w:val="24"/>
                <w:szCs w:val="24"/>
              </w:rPr>
            </w:pPr>
            <w:r>
              <w:rPr>
                <w:rFonts w:hint="eastAsia" w:ascii="仿宋" w:hAnsi="仿宋" w:eastAsia="仿宋" w:cs="宋体"/>
                <w:sz w:val="24"/>
                <w:szCs w:val="24"/>
              </w:rPr>
              <w:t>预计处置量（吨）</w:t>
            </w:r>
          </w:p>
        </w:tc>
        <w:tc>
          <w:tcPr>
            <w:tcW w:w="1368" w:type="dxa"/>
            <w:tcBorders>
              <w:top w:val="single" w:color="auto" w:sz="4" w:space="0"/>
              <w:left w:val="single" w:color="auto" w:sz="4" w:space="0"/>
              <w:bottom w:val="single" w:color="auto" w:sz="4" w:space="0"/>
              <w:right w:val="single" w:color="auto" w:sz="4" w:space="0"/>
            </w:tcBorders>
            <w:vAlign w:val="center"/>
          </w:tcPr>
          <w:p w14:paraId="5E2C1C5A">
            <w:pPr>
              <w:jc w:val="center"/>
              <w:rPr>
                <w:rFonts w:ascii="仿宋" w:hAnsi="仿宋" w:eastAsia="仿宋" w:cs="宋体"/>
                <w:kern w:val="2"/>
                <w:sz w:val="24"/>
                <w:szCs w:val="24"/>
              </w:rPr>
            </w:pPr>
            <w:r>
              <w:rPr>
                <w:rFonts w:hint="eastAsia" w:ascii="仿宋" w:hAnsi="仿宋" w:eastAsia="仿宋" w:cs="宋体"/>
                <w:sz w:val="24"/>
                <w:szCs w:val="24"/>
              </w:rPr>
              <w:t>处置单价</w:t>
            </w:r>
          </w:p>
          <w:p w14:paraId="28A67E12">
            <w:pPr>
              <w:jc w:val="center"/>
              <w:rPr>
                <w:rFonts w:ascii="仿宋" w:hAnsi="仿宋" w:eastAsia="仿宋" w:cs="宋体"/>
                <w:kern w:val="2"/>
                <w:sz w:val="24"/>
                <w:szCs w:val="24"/>
              </w:rPr>
            </w:pPr>
            <w:r>
              <w:rPr>
                <w:rFonts w:hint="eastAsia" w:ascii="仿宋" w:hAnsi="仿宋" w:eastAsia="仿宋" w:cs="宋体"/>
                <w:sz w:val="24"/>
                <w:szCs w:val="24"/>
              </w:rPr>
              <w:t>（元/吨）</w:t>
            </w:r>
          </w:p>
        </w:tc>
        <w:tc>
          <w:tcPr>
            <w:tcW w:w="1196" w:type="dxa"/>
            <w:tcBorders>
              <w:top w:val="single" w:color="auto" w:sz="4" w:space="0"/>
              <w:left w:val="single" w:color="auto" w:sz="4" w:space="0"/>
              <w:bottom w:val="single" w:color="auto" w:sz="4" w:space="0"/>
              <w:right w:val="single" w:color="auto" w:sz="4" w:space="0"/>
            </w:tcBorders>
            <w:vAlign w:val="center"/>
          </w:tcPr>
          <w:p w14:paraId="489E8748">
            <w:pPr>
              <w:jc w:val="center"/>
              <w:rPr>
                <w:rFonts w:ascii="仿宋" w:hAnsi="仿宋" w:eastAsia="仿宋" w:cs="宋体"/>
                <w:kern w:val="2"/>
                <w:sz w:val="24"/>
                <w:szCs w:val="24"/>
              </w:rPr>
            </w:pPr>
            <w:r>
              <w:rPr>
                <w:rFonts w:hint="eastAsia" w:ascii="仿宋" w:hAnsi="仿宋" w:eastAsia="仿宋" w:cs="宋体"/>
                <w:sz w:val="24"/>
                <w:szCs w:val="24"/>
              </w:rPr>
              <w:t>预计处置费（元）</w:t>
            </w:r>
          </w:p>
        </w:tc>
        <w:tc>
          <w:tcPr>
            <w:tcW w:w="1194" w:type="dxa"/>
            <w:tcBorders>
              <w:top w:val="single" w:color="auto" w:sz="4" w:space="0"/>
              <w:left w:val="single" w:color="auto" w:sz="4" w:space="0"/>
              <w:bottom w:val="single" w:color="auto" w:sz="4" w:space="0"/>
              <w:right w:val="single" w:color="auto" w:sz="4" w:space="0"/>
            </w:tcBorders>
            <w:vAlign w:val="center"/>
          </w:tcPr>
          <w:p w14:paraId="5AC8B284">
            <w:pPr>
              <w:jc w:val="center"/>
              <w:rPr>
                <w:rFonts w:ascii="仿宋" w:hAnsi="仿宋" w:eastAsia="仿宋" w:cs="宋体"/>
                <w:kern w:val="2"/>
                <w:sz w:val="24"/>
                <w:szCs w:val="24"/>
              </w:rPr>
            </w:pPr>
            <w:r>
              <w:rPr>
                <w:rFonts w:hint="eastAsia" w:ascii="仿宋" w:hAnsi="仿宋" w:eastAsia="仿宋" w:cs="宋体"/>
                <w:sz w:val="24"/>
                <w:szCs w:val="24"/>
              </w:rPr>
              <w:t>包装方式</w:t>
            </w:r>
          </w:p>
        </w:tc>
      </w:tr>
      <w:tr w14:paraId="395F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12" w:type="dxa"/>
            <w:tcBorders>
              <w:top w:val="single" w:color="auto" w:sz="4" w:space="0"/>
              <w:left w:val="single" w:color="auto" w:sz="4" w:space="0"/>
              <w:bottom w:val="single" w:color="auto" w:sz="4" w:space="0"/>
              <w:right w:val="single" w:color="auto" w:sz="4" w:space="0"/>
            </w:tcBorders>
            <w:vAlign w:val="center"/>
          </w:tcPr>
          <w:p w14:paraId="3BCEE994">
            <w:pPr>
              <w:jc w:val="center"/>
              <w:rPr>
                <w:rFonts w:ascii="仿宋" w:hAnsi="仿宋" w:eastAsia="仿宋" w:cs="宋体"/>
                <w:sz w:val="24"/>
              </w:rPr>
            </w:pPr>
            <w:r>
              <w:rPr>
                <w:rFonts w:hint="eastAsia" w:ascii="仿宋" w:hAnsi="仿宋" w:eastAsia="仿宋" w:cs="宋体"/>
                <w:sz w:val="24"/>
              </w:rPr>
              <w:t>1</w:t>
            </w:r>
          </w:p>
        </w:tc>
        <w:tc>
          <w:tcPr>
            <w:tcW w:w="1350" w:type="dxa"/>
            <w:tcBorders>
              <w:top w:val="single" w:color="auto" w:sz="4" w:space="0"/>
              <w:left w:val="single" w:color="auto" w:sz="4" w:space="0"/>
              <w:bottom w:val="single" w:color="auto" w:sz="4" w:space="0"/>
              <w:right w:val="single" w:color="auto" w:sz="4" w:space="0"/>
            </w:tcBorders>
            <w:vAlign w:val="center"/>
          </w:tcPr>
          <w:p w14:paraId="74577571">
            <w:pPr>
              <w:spacing w:line="220" w:lineRule="atLeast"/>
              <w:jc w:val="center"/>
              <w:rPr>
                <w:rFonts w:ascii="仿宋" w:hAnsi="仿宋" w:eastAsia="仿宋"/>
                <w:color w:val="000000"/>
                <w:sz w:val="21"/>
                <w:szCs w:val="21"/>
              </w:rPr>
            </w:pPr>
            <w:r>
              <w:rPr>
                <w:rFonts w:hint="eastAsia" w:ascii="仿宋" w:hAnsi="仿宋" w:eastAsia="仿宋"/>
                <w:color w:val="000000"/>
                <w:sz w:val="21"/>
                <w:szCs w:val="21"/>
              </w:rPr>
              <w:t>/</w:t>
            </w:r>
          </w:p>
        </w:tc>
        <w:tc>
          <w:tcPr>
            <w:tcW w:w="1318" w:type="dxa"/>
            <w:tcBorders>
              <w:top w:val="single" w:color="auto" w:sz="4" w:space="0"/>
              <w:left w:val="single" w:color="auto" w:sz="4" w:space="0"/>
              <w:bottom w:val="single" w:color="auto" w:sz="4" w:space="0"/>
              <w:right w:val="single" w:color="auto" w:sz="4" w:space="0"/>
            </w:tcBorders>
            <w:vAlign w:val="center"/>
          </w:tcPr>
          <w:p w14:paraId="035109CA">
            <w:pPr>
              <w:spacing w:line="220" w:lineRule="atLeast"/>
              <w:jc w:val="center"/>
              <w:rPr>
                <w:rFonts w:ascii="仿宋" w:hAnsi="仿宋" w:eastAsia="仿宋" w:cs="宋体"/>
                <w:szCs w:val="28"/>
              </w:rPr>
            </w:pPr>
            <w:r>
              <w:rPr>
                <w:rFonts w:hint="eastAsia" w:ascii="仿宋" w:hAnsi="仿宋" w:eastAsia="仿宋"/>
                <w:color w:val="000000"/>
                <w:sz w:val="21"/>
                <w:szCs w:val="21"/>
              </w:rPr>
              <w:t>/</w:t>
            </w:r>
          </w:p>
        </w:tc>
        <w:tc>
          <w:tcPr>
            <w:tcW w:w="790" w:type="dxa"/>
            <w:tcBorders>
              <w:top w:val="single" w:color="auto" w:sz="4" w:space="0"/>
              <w:left w:val="single" w:color="auto" w:sz="4" w:space="0"/>
              <w:bottom w:val="single" w:color="auto" w:sz="4" w:space="0"/>
              <w:right w:val="single" w:color="auto" w:sz="4" w:space="0"/>
            </w:tcBorders>
            <w:vAlign w:val="center"/>
          </w:tcPr>
          <w:p w14:paraId="79CDD3C1">
            <w:pPr>
              <w:jc w:val="center"/>
              <w:rPr>
                <w:rFonts w:ascii="仿宋" w:hAnsi="仿宋" w:eastAsia="仿宋" w:cs="宋体"/>
                <w:sz w:val="24"/>
              </w:rPr>
            </w:pPr>
            <w:r>
              <w:rPr>
                <w:rFonts w:hint="eastAsia" w:ascii="仿宋" w:hAnsi="仿宋" w:eastAsia="仿宋"/>
                <w:color w:val="000000"/>
                <w:sz w:val="21"/>
                <w:szCs w:val="21"/>
              </w:rPr>
              <w:t>/</w:t>
            </w:r>
          </w:p>
        </w:tc>
        <w:tc>
          <w:tcPr>
            <w:tcW w:w="1410" w:type="dxa"/>
            <w:tcBorders>
              <w:top w:val="single" w:color="auto" w:sz="4" w:space="0"/>
              <w:left w:val="single" w:color="auto" w:sz="4" w:space="0"/>
              <w:bottom w:val="single" w:color="auto" w:sz="4" w:space="0"/>
              <w:right w:val="single" w:color="auto" w:sz="4" w:space="0"/>
            </w:tcBorders>
            <w:vAlign w:val="center"/>
          </w:tcPr>
          <w:p w14:paraId="70C636E4">
            <w:pPr>
              <w:jc w:val="center"/>
              <w:rPr>
                <w:rFonts w:ascii="仿宋" w:hAnsi="仿宋" w:eastAsia="仿宋" w:cs="宋体"/>
                <w:sz w:val="24"/>
              </w:rPr>
            </w:pPr>
            <w:r>
              <w:rPr>
                <w:rFonts w:hint="eastAsia" w:ascii="仿宋" w:hAnsi="仿宋" w:eastAsia="仿宋"/>
                <w:color w:val="000000"/>
                <w:sz w:val="21"/>
                <w:szCs w:val="21"/>
              </w:rPr>
              <w:t>/</w:t>
            </w:r>
          </w:p>
        </w:tc>
        <w:tc>
          <w:tcPr>
            <w:tcW w:w="1368" w:type="dxa"/>
            <w:tcBorders>
              <w:top w:val="single" w:color="auto" w:sz="4" w:space="0"/>
              <w:left w:val="single" w:color="auto" w:sz="4" w:space="0"/>
              <w:bottom w:val="single" w:color="auto" w:sz="4" w:space="0"/>
              <w:right w:val="single" w:color="auto" w:sz="4" w:space="0"/>
            </w:tcBorders>
            <w:vAlign w:val="center"/>
          </w:tcPr>
          <w:p w14:paraId="6FBE3AD0">
            <w:pPr>
              <w:jc w:val="center"/>
              <w:rPr>
                <w:rFonts w:ascii="仿宋" w:hAnsi="仿宋" w:eastAsia="仿宋" w:cs="宋体"/>
                <w:sz w:val="24"/>
              </w:rPr>
            </w:pPr>
            <w:r>
              <w:rPr>
                <w:rFonts w:hint="eastAsia" w:ascii="仿宋" w:hAnsi="仿宋" w:eastAsia="仿宋"/>
                <w:color w:val="000000"/>
                <w:sz w:val="21"/>
                <w:szCs w:val="21"/>
              </w:rPr>
              <w:t>/</w:t>
            </w:r>
          </w:p>
        </w:tc>
        <w:tc>
          <w:tcPr>
            <w:tcW w:w="1196" w:type="dxa"/>
            <w:tcBorders>
              <w:top w:val="single" w:color="auto" w:sz="4" w:space="0"/>
              <w:left w:val="single" w:color="auto" w:sz="4" w:space="0"/>
              <w:bottom w:val="single" w:color="auto" w:sz="4" w:space="0"/>
              <w:right w:val="single" w:color="auto" w:sz="4" w:space="0"/>
            </w:tcBorders>
            <w:vAlign w:val="center"/>
          </w:tcPr>
          <w:p w14:paraId="6828AE77">
            <w:pPr>
              <w:jc w:val="center"/>
              <w:rPr>
                <w:rFonts w:ascii="仿宋" w:hAnsi="仿宋" w:eastAsia="仿宋" w:cs="宋体"/>
                <w:sz w:val="24"/>
                <w:szCs w:val="24"/>
              </w:rPr>
            </w:pPr>
            <w:r>
              <w:rPr>
                <w:rFonts w:hint="eastAsia" w:ascii="仿宋" w:hAnsi="仿宋" w:eastAsia="仿宋"/>
                <w:color w:val="000000"/>
                <w:sz w:val="21"/>
                <w:szCs w:val="21"/>
              </w:rPr>
              <w:t>/</w:t>
            </w:r>
          </w:p>
        </w:tc>
        <w:tc>
          <w:tcPr>
            <w:tcW w:w="1194" w:type="dxa"/>
            <w:tcBorders>
              <w:top w:val="single" w:color="auto" w:sz="4" w:space="0"/>
              <w:left w:val="single" w:color="auto" w:sz="4" w:space="0"/>
              <w:bottom w:val="single" w:color="auto" w:sz="4" w:space="0"/>
              <w:right w:val="single" w:color="auto" w:sz="4" w:space="0"/>
            </w:tcBorders>
            <w:vAlign w:val="center"/>
          </w:tcPr>
          <w:p w14:paraId="4815F714">
            <w:pPr>
              <w:jc w:val="center"/>
              <w:rPr>
                <w:rFonts w:ascii="仿宋" w:hAnsi="仿宋" w:eastAsia="仿宋" w:cs="宋体"/>
                <w:sz w:val="24"/>
              </w:rPr>
            </w:pPr>
            <w:r>
              <w:rPr>
                <w:rFonts w:hint="eastAsia" w:ascii="仿宋" w:hAnsi="仿宋" w:eastAsia="仿宋"/>
                <w:color w:val="000000"/>
                <w:sz w:val="21"/>
                <w:szCs w:val="21"/>
              </w:rPr>
              <w:t>/</w:t>
            </w:r>
          </w:p>
        </w:tc>
      </w:tr>
      <w:tr w14:paraId="1EBA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12" w:type="dxa"/>
            <w:tcBorders>
              <w:top w:val="single" w:color="auto" w:sz="4" w:space="0"/>
              <w:left w:val="single" w:color="auto" w:sz="4" w:space="0"/>
              <w:bottom w:val="single" w:color="auto" w:sz="4" w:space="0"/>
              <w:right w:val="single" w:color="auto" w:sz="4" w:space="0"/>
            </w:tcBorders>
            <w:vAlign w:val="center"/>
          </w:tcPr>
          <w:p w14:paraId="38DCBBA7">
            <w:pPr>
              <w:jc w:val="center"/>
              <w:rPr>
                <w:rFonts w:ascii="仿宋" w:hAnsi="仿宋" w:eastAsia="仿宋" w:cs="宋体"/>
                <w:sz w:val="24"/>
              </w:rPr>
            </w:pPr>
            <w:r>
              <w:rPr>
                <w:rFonts w:hint="eastAsia" w:ascii="仿宋" w:hAnsi="仿宋" w:eastAsia="仿宋" w:cs="宋体"/>
                <w:sz w:val="24"/>
              </w:rPr>
              <w:t>2</w:t>
            </w:r>
          </w:p>
        </w:tc>
        <w:tc>
          <w:tcPr>
            <w:tcW w:w="1350" w:type="dxa"/>
            <w:tcBorders>
              <w:top w:val="single" w:color="auto" w:sz="4" w:space="0"/>
              <w:left w:val="single" w:color="auto" w:sz="4" w:space="0"/>
              <w:bottom w:val="single" w:color="auto" w:sz="4" w:space="0"/>
              <w:right w:val="single" w:color="auto" w:sz="4" w:space="0"/>
            </w:tcBorders>
            <w:vAlign w:val="center"/>
          </w:tcPr>
          <w:p w14:paraId="518280BC">
            <w:pPr>
              <w:spacing w:line="220" w:lineRule="atLeast"/>
              <w:jc w:val="center"/>
              <w:rPr>
                <w:rFonts w:ascii="仿宋" w:hAnsi="仿宋" w:eastAsia="仿宋"/>
                <w:color w:val="000000"/>
                <w:sz w:val="21"/>
                <w:szCs w:val="21"/>
              </w:rPr>
            </w:pPr>
            <w:r>
              <w:rPr>
                <w:rFonts w:hint="eastAsia" w:ascii="仿宋" w:hAnsi="仿宋" w:eastAsia="仿宋"/>
                <w:color w:val="000000"/>
                <w:sz w:val="21"/>
                <w:szCs w:val="21"/>
              </w:rPr>
              <w:t>/</w:t>
            </w:r>
          </w:p>
        </w:tc>
        <w:tc>
          <w:tcPr>
            <w:tcW w:w="1318" w:type="dxa"/>
            <w:tcBorders>
              <w:top w:val="single" w:color="auto" w:sz="4" w:space="0"/>
              <w:left w:val="single" w:color="auto" w:sz="4" w:space="0"/>
              <w:bottom w:val="single" w:color="auto" w:sz="4" w:space="0"/>
              <w:right w:val="single" w:color="auto" w:sz="4" w:space="0"/>
            </w:tcBorders>
            <w:vAlign w:val="center"/>
          </w:tcPr>
          <w:p w14:paraId="6C1123E3">
            <w:pPr>
              <w:spacing w:line="220" w:lineRule="atLeast"/>
              <w:jc w:val="center"/>
              <w:rPr>
                <w:rFonts w:ascii="仿宋" w:hAnsi="仿宋" w:eastAsia="仿宋" w:cs="宋体"/>
                <w:szCs w:val="28"/>
              </w:rPr>
            </w:pPr>
            <w:r>
              <w:rPr>
                <w:rFonts w:hint="eastAsia" w:ascii="仿宋" w:hAnsi="仿宋" w:eastAsia="仿宋"/>
                <w:color w:val="000000"/>
                <w:sz w:val="21"/>
                <w:szCs w:val="21"/>
              </w:rPr>
              <w:t>/</w:t>
            </w:r>
          </w:p>
        </w:tc>
        <w:tc>
          <w:tcPr>
            <w:tcW w:w="790" w:type="dxa"/>
            <w:tcBorders>
              <w:top w:val="single" w:color="auto" w:sz="4" w:space="0"/>
              <w:left w:val="single" w:color="auto" w:sz="4" w:space="0"/>
              <w:bottom w:val="single" w:color="auto" w:sz="4" w:space="0"/>
              <w:right w:val="single" w:color="auto" w:sz="4" w:space="0"/>
            </w:tcBorders>
            <w:vAlign w:val="center"/>
          </w:tcPr>
          <w:p w14:paraId="76B6F5C4">
            <w:pPr>
              <w:jc w:val="center"/>
              <w:rPr>
                <w:rFonts w:ascii="仿宋" w:hAnsi="仿宋" w:eastAsia="仿宋" w:cs="宋体"/>
                <w:sz w:val="24"/>
              </w:rPr>
            </w:pPr>
            <w:r>
              <w:rPr>
                <w:rFonts w:hint="eastAsia" w:ascii="仿宋" w:hAnsi="仿宋" w:eastAsia="仿宋"/>
                <w:color w:val="000000"/>
                <w:sz w:val="21"/>
                <w:szCs w:val="21"/>
              </w:rPr>
              <w:t>/</w:t>
            </w:r>
          </w:p>
        </w:tc>
        <w:tc>
          <w:tcPr>
            <w:tcW w:w="1410" w:type="dxa"/>
            <w:tcBorders>
              <w:top w:val="single" w:color="auto" w:sz="4" w:space="0"/>
              <w:left w:val="single" w:color="auto" w:sz="4" w:space="0"/>
              <w:bottom w:val="single" w:color="auto" w:sz="4" w:space="0"/>
              <w:right w:val="single" w:color="auto" w:sz="4" w:space="0"/>
            </w:tcBorders>
            <w:vAlign w:val="center"/>
          </w:tcPr>
          <w:p w14:paraId="545C2403">
            <w:pPr>
              <w:jc w:val="center"/>
              <w:rPr>
                <w:rFonts w:ascii="仿宋" w:hAnsi="仿宋" w:eastAsia="仿宋" w:cs="宋体"/>
                <w:sz w:val="24"/>
              </w:rPr>
            </w:pPr>
            <w:r>
              <w:rPr>
                <w:rFonts w:hint="eastAsia" w:ascii="仿宋" w:hAnsi="仿宋" w:eastAsia="仿宋"/>
                <w:color w:val="000000"/>
                <w:sz w:val="21"/>
                <w:szCs w:val="21"/>
              </w:rPr>
              <w:t>/</w:t>
            </w:r>
          </w:p>
        </w:tc>
        <w:tc>
          <w:tcPr>
            <w:tcW w:w="1368" w:type="dxa"/>
            <w:tcBorders>
              <w:top w:val="single" w:color="auto" w:sz="4" w:space="0"/>
              <w:left w:val="single" w:color="auto" w:sz="4" w:space="0"/>
              <w:bottom w:val="single" w:color="auto" w:sz="4" w:space="0"/>
              <w:right w:val="single" w:color="auto" w:sz="4" w:space="0"/>
            </w:tcBorders>
            <w:vAlign w:val="center"/>
          </w:tcPr>
          <w:p w14:paraId="00E9BC8A">
            <w:pPr>
              <w:jc w:val="center"/>
              <w:rPr>
                <w:rFonts w:ascii="仿宋" w:hAnsi="仿宋" w:eastAsia="仿宋" w:cs="宋体"/>
                <w:sz w:val="24"/>
              </w:rPr>
            </w:pPr>
            <w:r>
              <w:rPr>
                <w:rFonts w:hint="eastAsia" w:ascii="仿宋" w:hAnsi="仿宋" w:eastAsia="仿宋"/>
                <w:color w:val="000000"/>
                <w:sz w:val="21"/>
                <w:szCs w:val="21"/>
              </w:rPr>
              <w:t>/</w:t>
            </w:r>
          </w:p>
        </w:tc>
        <w:tc>
          <w:tcPr>
            <w:tcW w:w="1196" w:type="dxa"/>
            <w:tcBorders>
              <w:top w:val="single" w:color="auto" w:sz="4" w:space="0"/>
              <w:left w:val="single" w:color="auto" w:sz="4" w:space="0"/>
              <w:bottom w:val="single" w:color="auto" w:sz="4" w:space="0"/>
              <w:right w:val="single" w:color="auto" w:sz="4" w:space="0"/>
            </w:tcBorders>
            <w:vAlign w:val="center"/>
          </w:tcPr>
          <w:p w14:paraId="3BA28FB7">
            <w:pPr>
              <w:jc w:val="center"/>
              <w:rPr>
                <w:rFonts w:ascii="仿宋" w:hAnsi="仿宋" w:eastAsia="仿宋" w:cs="宋体"/>
                <w:sz w:val="24"/>
                <w:szCs w:val="24"/>
              </w:rPr>
            </w:pPr>
            <w:r>
              <w:rPr>
                <w:rFonts w:hint="eastAsia" w:ascii="仿宋" w:hAnsi="仿宋" w:eastAsia="仿宋"/>
                <w:color w:val="000000"/>
                <w:sz w:val="21"/>
                <w:szCs w:val="21"/>
              </w:rPr>
              <w:t>/</w:t>
            </w:r>
          </w:p>
        </w:tc>
        <w:tc>
          <w:tcPr>
            <w:tcW w:w="1194" w:type="dxa"/>
            <w:tcBorders>
              <w:top w:val="single" w:color="auto" w:sz="4" w:space="0"/>
              <w:left w:val="single" w:color="auto" w:sz="4" w:space="0"/>
              <w:bottom w:val="single" w:color="auto" w:sz="4" w:space="0"/>
              <w:right w:val="single" w:color="auto" w:sz="4" w:space="0"/>
            </w:tcBorders>
            <w:vAlign w:val="center"/>
          </w:tcPr>
          <w:p w14:paraId="1668FCB6">
            <w:pPr>
              <w:jc w:val="center"/>
              <w:rPr>
                <w:rFonts w:ascii="仿宋" w:hAnsi="仿宋" w:eastAsia="仿宋" w:cs="宋体"/>
                <w:sz w:val="24"/>
              </w:rPr>
            </w:pPr>
            <w:r>
              <w:rPr>
                <w:rFonts w:hint="eastAsia" w:ascii="仿宋" w:hAnsi="仿宋" w:eastAsia="仿宋"/>
                <w:color w:val="000000"/>
                <w:sz w:val="21"/>
                <w:szCs w:val="21"/>
              </w:rPr>
              <w:t>/</w:t>
            </w:r>
          </w:p>
        </w:tc>
      </w:tr>
    </w:tbl>
    <w:p w14:paraId="2A803812">
      <w:pPr>
        <w:spacing w:after="120" w:afterLines="50" w:line="320" w:lineRule="exact"/>
        <w:ind w:firstLine="560" w:firstLineChars="200"/>
        <w:rPr>
          <w:rFonts w:ascii="仿宋_GB2312" w:hAnsi="宋体" w:eastAsia="仿宋_GB2312"/>
          <w:sz w:val="28"/>
          <w:szCs w:val="28"/>
        </w:rPr>
      </w:pPr>
      <w:r>
        <w:rPr>
          <w:rFonts w:hint="eastAsia" w:ascii="仿宋_GB2312" w:hAnsi="宋体" w:eastAsia="仿宋_GB2312"/>
          <w:sz w:val="28"/>
          <w:szCs w:val="28"/>
        </w:rPr>
        <w:t>2.</w:t>
      </w:r>
      <w:r>
        <w:rPr>
          <w:rFonts w:hint="eastAsia" w:ascii="仿宋_GB2312" w:hAnsi="宋体" w:eastAsia="仿宋_GB2312"/>
          <w:sz w:val="28"/>
          <w:szCs w:val="28"/>
          <w:lang w:eastAsia="zh-CN"/>
        </w:rPr>
        <w:t>□</w:t>
      </w:r>
      <w:r>
        <w:rPr>
          <w:rFonts w:hint="eastAsia" w:ascii="仿宋_GB2312" w:hAnsi="宋体" w:eastAsia="仿宋_GB2312"/>
          <w:sz w:val="28"/>
          <w:szCs w:val="28"/>
        </w:rPr>
        <w:t>运输费</w:t>
      </w:r>
    </w:p>
    <w:p w14:paraId="660ED907">
      <w:pPr>
        <w:spacing w:after="120" w:afterLines="50" w:line="320" w:lineRule="exact"/>
        <w:ind w:firstLine="560" w:firstLineChars="200"/>
        <w:rPr>
          <w:rFonts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w:t>
      </w:r>
      <w:r>
        <w:rPr>
          <w:rFonts w:hint="eastAsia" w:ascii="仿宋" w:hAnsi="仿宋" w:eastAsia="仿宋" w:cs="仿宋"/>
          <w:bCs/>
          <w:sz w:val="28"/>
          <w:szCs w:val="28"/>
        </w:rPr>
        <w:t>运费</w:t>
      </w:r>
    </w:p>
    <w:p w14:paraId="4F6115F7">
      <w:pPr>
        <w:spacing w:after="120" w:afterLines="50" w:line="320" w:lineRule="exact"/>
        <w:ind w:firstLine="720" w:firstLineChars="300"/>
        <w:rPr>
          <w:rFonts w:ascii="仿宋" w:hAnsi="仿宋" w:eastAsia="仿宋" w:cs="仿宋"/>
          <w:b w:val="0"/>
          <w:bCs w:val="0"/>
          <w:sz w:val="24"/>
          <w:szCs w:val="24"/>
        </w:rPr>
      </w:pPr>
      <w:r>
        <w:rPr>
          <w:rFonts w:hint="eastAsia" w:ascii="仿宋" w:hAnsi="仿宋" w:eastAsia="仿宋" w:cs="仿宋"/>
          <w:bCs/>
          <w:sz w:val="24"/>
          <w:szCs w:val="24"/>
        </w:rPr>
        <w:t>①选用载重量为</w:t>
      </w:r>
      <w:r>
        <w:rPr>
          <w:rFonts w:hint="eastAsia" w:ascii="仿宋" w:hAnsi="仿宋" w:eastAsia="仿宋" w:cs="仿宋"/>
          <w:bCs/>
          <w:sz w:val="24"/>
          <w:szCs w:val="24"/>
          <w:lang w:val="en-US" w:eastAsia="zh-CN"/>
        </w:rPr>
        <w:t>7</w:t>
      </w:r>
      <w:r>
        <w:rPr>
          <w:rFonts w:hint="eastAsia" w:ascii="仿宋" w:hAnsi="仿宋" w:eastAsia="仿宋" w:cs="仿宋"/>
          <w:bCs/>
          <w:sz w:val="24"/>
          <w:szCs w:val="24"/>
        </w:rPr>
        <w:t>吨的货车， 运费为</w:t>
      </w:r>
      <w:r>
        <w:rPr>
          <w:rFonts w:hint="eastAsia" w:ascii="仿宋" w:hAnsi="仿宋" w:eastAsia="仿宋" w:cs="仿宋"/>
          <w:b w:val="0"/>
          <w:bCs/>
          <w:sz w:val="24"/>
          <w:szCs w:val="24"/>
        </w:rPr>
        <w:t>：</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u w:val="single"/>
          <w:lang w:val="en-US" w:eastAsia="zh-CN"/>
        </w:rPr>
        <w:t xml:space="preserve">   / </w:t>
      </w:r>
      <w:r>
        <w:rPr>
          <w:rFonts w:hint="eastAsia" w:ascii="仿宋" w:hAnsi="仿宋" w:eastAsia="仿宋" w:cs="仿宋"/>
          <w:b w:val="0"/>
          <w:bCs/>
          <w:sz w:val="24"/>
          <w:szCs w:val="24"/>
          <w:u w:val="single"/>
        </w:rPr>
        <w:t xml:space="preserve">  </w:t>
      </w:r>
      <w:r>
        <w:rPr>
          <w:rFonts w:hint="eastAsia" w:ascii="仿宋" w:hAnsi="仿宋" w:eastAsia="仿宋" w:cs="仿宋"/>
          <w:b w:val="0"/>
          <w:bCs w:val="0"/>
          <w:sz w:val="24"/>
          <w:szCs w:val="24"/>
        </w:rPr>
        <w:t>元/</w:t>
      </w:r>
      <w:r>
        <w:rPr>
          <w:rFonts w:hint="eastAsia" w:ascii="仿宋" w:hAnsi="仿宋" w:eastAsia="仿宋" w:cs="仿宋"/>
          <w:b w:val="0"/>
          <w:bCs w:val="0"/>
          <w:spacing w:val="-20"/>
          <w:sz w:val="24"/>
          <w:szCs w:val="24"/>
        </w:rPr>
        <w:t>车·次；</w:t>
      </w:r>
    </w:p>
    <w:p w14:paraId="0E410AF3">
      <w:pPr>
        <w:spacing w:after="120" w:afterLines="50" w:line="320" w:lineRule="exact"/>
        <w:ind w:firstLine="720" w:firstLineChars="300"/>
        <w:rPr>
          <w:rFonts w:ascii="仿宋" w:hAnsi="仿宋" w:eastAsia="仿宋" w:cs="仿宋"/>
          <w:b w:val="0"/>
          <w:bCs w:val="0"/>
          <w:sz w:val="24"/>
          <w:szCs w:val="24"/>
        </w:rPr>
      </w:pPr>
      <w:r>
        <w:rPr>
          <w:rFonts w:hint="eastAsia" w:ascii="仿宋" w:hAnsi="仿宋" w:eastAsia="仿宋" w:cs="仿宋"/>
          <w:b w:val="0"/>
          <w:bCs w:val="0"/>
          <w:sz w:val="24"/>
          <w:szCs w:val="24"/>
        </w:rPr>
        <w:t>②选用载重量为15吨的货车，运费为：</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元/</w:t>
      </w:r>
      <w:r>
        <w:rPr>
          <w:rFonts w:hint="eastAsia" w:ascii="仿宋" w:hAnsi="仿宋" w:eastAsia="仿宋" w:cs="仿宋"/>
          <w:b w:val="0"/>
          <w:bCs w:val="0"/>
          <w:spacing w:val="-20"/>
          <w:sz w:val="24"/>
          <w:szCs w:val="24"/>
        </w:rPr>
        <w:t>车·次；</w:t>
      </w:r>
    </w:p>
    <w:p w14:paraId="37F720B9">
      <w:pPr>
        <w:spacing w:after="120" w:afterLines="50" w:line="320" w:lineRule="exact"/>
        <w:ind w:firstLine="720" w:firstLineChars="300"/>
        <w:rPr>
          <w:rFonts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 3 \* GB3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③</w:t>
      </w:r>
      <w:r>
        <w:rPr>
          <w:rFonts w:hint="eastAsia" w:ascii="仿宋" w:hAnsi="仿宋" w:eastAsia="仿宋" w:cs="仿宋"/>
          <w:b w:val="0"/>
          <w:bCs w:val="0"/>
          <w:sz w:val="24"/>
          <w:szCs w:val="24"/>
        </w:rPr>
        <w:fldChar w:fldCharType="end"/>
      </w:r>
      <w:r>
        <w:rPr>
          <w:rFonts w:hint="eastAsia" w:ascii="仿宋" w:hAnsi="仿宋" w:eastAsia="仿宋" w:cs="仿宋"/>
          <w:b w:val="0"/>
          <w:bCs w:val="0"/>
          <w:sz w:val="24"/>
          <w:szCs w:val="24"/>
        </w:rPr>
        <w:t>选用载重量为30吨的货车，运费为：</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bCs/>
          <w:sz w:val="24"/>
          <w:szCs w:val="24"/>
          <w:u w:val="single"/>
        </w:rPr>
        <w:t xml:space="preserve"> </w:t>
      </w:r>
      <w:r>
        <w:rPr>
          <w:rFonts w:hint="eastAsia" w:ascii="仿宋" w:hAnsi="仿宋" w:eastAsia="仿宋" w:cs="仿宋"/>
          <w:bCs/>
          <w:sz w:val="24"/>
          <w:szCs w:val="24"/>
        </w:rPr>
        <w:t>元/</w:t>
      </w:r>
      <w:r>
        <w:rPr>
          <w:rFonts w:hint="eastAsia" w:ascii="仿宋" w:hAnsi="仿宋" w:eastAsia="仿宋" w:cs="仿宋"/>
          <w:bCs/>
          <w:spacing w:val="-20"/>
          <w:sz w:val="24"/>
          <w:szCs w:val="24"/>
        </w:rPr>
        <w:t>车·次；</w:t>
      </w:r>
    </w:p>
    <w:p w14:paraId="700BBDE3">
      <w:pPr>
        <w:spacing w:after="120" w:afterLines="50" w:line="320" w:lineRule="exact"/>
        <w:ind w:firstLine="720" w:firstLineChars="300"/>
        <w:rPr>
          <w:rFonts w:ascii="仿宋" w:hAnsi="仿宋" w:eastAsia="仿宋" w:cs="仿宋"/>
          <w:bCs/>
          <w:sz w:val="24"/>
          <w:szCs w:val="24"/>
        </w:rPr>
      </w:pPr>
      <w:r>
        <w:rPr>
          <w:rFonts w:hint="eastAsia" w:ascii="仿宋" w:hAnsi="仿宋" w:eastAsia="仿宋" w:cs="仿宋"/>
          <w:b w:val="0"/>
          <w:bCs w:val="0"/>
          <w:sz w:val="24"/>
          <w:szCs w:val="24"/>
        </w:rPr>
        <w:t>④</w:t>
      </w:r>
      <w:r>
        <w:rPr>
          <w:rFonts w:hint="eastAsia" w:ascii="仿宋" w:hAnsi="仿宋" w:eastAsia="仿宋" w:cs="仿宋"/>
          <w:bCs/>
          <w:sz w:val="24"/>
          <w:szCs w:val="24"/>
        </w:rPr>
        <w:t>其他车型</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bCs/>
          <w:sz w:val="24"/>
          <w:szCs w:val="24"/>
          <w:u w:val="single"/>
        </w:rPr>
        <w:t xml:space="preserve"> </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，运费为：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val="0"/>
          <w:bCs w:val="0"/>
          <w:sz w:val="24"/>
          <w:szCs w:val="24"/>
          <w:u w:val="single"/>
          <w:lang w:val="en-US" w:eastAsia="zh-CN"/>
        </w:rPr>
        <w:t>/</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rPr>
        <w:t>元/</w:t>
      </w:r>
      <w:r>
        <w:rPr>
          <w:rFonts w:hint="eastAsia" w:ascii="仿宋" w:hAnsi="仿宋" w:eastAsia="仿宋" w:cs="仿宋"/>
          <w:bCs/>
          <w:spacing w:val="-20"/>
          <w:sz w:val="24"/>
          <w:szCs w:val="24"/>
        </w:rPr>
        <w:t>车·次。</w:t>
      </w:r>
    </w:p>
    <w:p w14:paraId="2DDB0977">
      <w:pPr>
        <w:spacing w:after="120" w:afterLines="50" w:line="320" w:lineRule="exact"/>
        <w:ind w:firstLine="560" w:firstLineChars="200"/>
        <w:rPr>
          <w:rFonts w:ascii="仿宋" w:hAnsi="仿宋" w:eastAsia="仿宋" w:cs="仿宋"/>
          <w:bCs/>
          <w:sz w:val="28"/>
          <w:szCs w:val="28"/>
        </w:rPr>
      </w:pPr>
      <w:r>
        <w:rPr>
          <w:rFonts w:hint="eastAsia" w:ascii="仿宋" w:hAnsi="仿宋" w:eastAsia="仿宋" w:cs="仿宋"/>
          <w:bCs/>
          <w:sz w:val="28"/>
          <w:szCs w:val="28"/>
        </w:rPr>
        <w:t>（2）顿时费</w:t>
      </w:r>
    </w:p>
    <w:p w14:paraId="5949FD82">
      <w:pPr>
        <w:tabs>
          <w:tab w:val="left" w:pos="759"/>
        </w:tabs>
        <w:spacing w:after="120" w:afterLines="50" w:line="320" w:lineRule="exact"/>
        <w:ind w:firstLine="660" w:firstLineChars="300"/>
        <w:rPr>
          <w:rFonts w:ascii="仿宋" w:hAnsi="仿宋" w:eastAsia="仿宋"/>
          <w:b/>
          <w:bCs/>
          <w:spacing w:val="-10"/>
          <w:sz w:val="24"/>
          <w:szCs w:val="24"/>
        </w:rPr>
      </w:pPr>
      <w:r>
        <w:rPr>
          <w:rFonts w:hint="eastAsia" w:ascii="仿宋" w:hAnsi="仿宋" w:eastAsia="仿宋"/>
          <w:spacing w:val="-10"/>
          <w:sz w:val="24"/>
          <w:szCs w:val="24"/>
        </w:rPr>
        <w:t>顿时费1</w:t>
      </w:r>
      <w:r>
        <w:rPr>
          <w:rFonts w:hint="eastAsia" w:ascii="仿宋" w:hAnsi="仿宋" w:eastAsia="仿宋"/>
          <w:spacing w:val="-10"/>
          <w:sz w:val="24"/>
          <w:szCs w:val="24"/>
          <w:lang w:val="en-US" w:eastAsia="zh-CN"/>
        </w:rPr>
        <w:t>2</w:t>
      </w:r>
      <w:r>
        <w:rPr>
          <w:rFonts w:hint="eastAsia" w:ascii="仿宋" w:hAnsi="仿宋" w:eastAsia="仿宋"/>
          <w:spacing w:val="-10"/>
          <w:sz w:val="24"/>
          <w:szCs w:val="24"/>
        </w:rPr>
        <w:t>00元/天（</w:t>
      </w:r>
      <w:r>
        <w:rPr>
          <w:rFonts w:hint="eastAsia" w:ascii="仿宋" w:hAnsi="仿宋" w:eastAsia="仿宋" w:cs="宋体"/>
          <w:spacing w:val="-10"/>
          <w:sz w:val="24"/>
        </w:rPr>
        <w:t>因甲方原因造成车辆无法当天发车产生的车辆停滞费用）。</w:t>
      </w:r>
    </w:p>
    <w:p w14:paraId="5D1730DF">
      <w:pPr>
        <w:spacing w:after="120" w:afterLines="50" w:line="320" w:lineRule="exact"/>
        <w:ind w:firstLine="560" w:firstLineChars="200"/>
        <w:rPr>
          <w:rFonts w:ascii="仿宋_GB2312" w:hAnsi="宋体" w:eastAsia="仿宋_GB2312"/>
          <w:sz w:val="28"/>
          <w:szCs w:val="28"/>
        </w:rPr>
      </w:pPr>
      <w:r>
        <w:rPr>
          <w:rFonts w:hint="eastAsia" w:ascii="仿宋_GB2312" w:hAnsi="宋体" w:eastAsia="仿宋_GB2312"/>
          <w:sz w:val="28"/>
          <w:szCs w:val="28"/>
        </w:rPr>
        <w:t>3.</w:t>
      </w:r>
      <w:r>
        <w:rPr>
          <w:rFonts w:hint="eastAsia" w:ascii="仿宋_GB2312" w:hAnsi="宋体" w:eastAsia="仿宋_GB2312"/>
          <w:sz w:val="28"/>
          <w:szCs w:val="28"/>
          <w:lang w:eastAsia="zh-CN"/>
        </w:rPr>
        <w:t>□</w:t>
      </w:r>
      <w:r>
        <w:rPr>
          <w:rFonts w:hint="eastAsia" w:ascii="仿宋_GB2312" w:hAnsi="宋体" w:eastAsia="仿宋_GB2312"/>
          <w:sz w:val="28"/>
          <w:szCs w:val="28"/>
        </w:rPr>
        <w:t>装车费</w:t>
      </w:r>
    </w:p>
    <w:p w14:paraId="54D3A8E6">
      <w:pPr>
        <w:spacing w:after="120" w:afterLines="50" w:line="320" w:lineRule="exact"/>
        <w:ind w:firstLine="720" w:firstLineChars="300"/>
        <w:rPr>
          <w:rFonts w:ascii="仿宋" w:hAnsi="仿宋" w:eastAsia="仿宋" w:cs="仿宋"/>
          <w:bCs/>
          <w:sz w:val="24"/>
          <w:szCs w:val="24"/>
        </w:rPr>
      </w:pPr>
      <w:r>
        <w:rPr>
          <w:rFonts w:hint="eastAsia" w:ascii="仿宋" w:hAnsi="仿宋" w:eastAsia="仿宋" w:cs="仿宋"/>
          <w:bCs/>
          <w:sz w:val="24"/>
          <w:szCs w:val="24"/>
        </w:rPr>
        <w:t>（1）包车按车型吨位收取，装车费</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bCs/>
          <w:color w:val="auto"/>
          <w:sz w:val="24"/>
          <w:szCs w:val="24"/>
          <w:u w:val="single"/>
        </w:rPr>
        <w:t xml:space="preserve"> </w:t>
      </w:r>
      <w:r>
        <w:rPr>
          <w:rFonts w:hint="eastAsia" w:ascii="仿宋" w:hAnsi="仿宋" w:eastAsia="仿宋" w:cs="仿宋"/>
          <w:bCs/>
          <w:sz w:val="24"/>
          <w:szCs w:val="24"/>
        </w:rPr>
        <w:t>元/吨；</w:t>
      </w:r>
    </w:p>
    <w:p w14:paraId="7D40E858">
      <w:pPr>
        <w:spacing w:after="120" w:afterLines="50" w:line="320" w:lineRule="exact"/>
        <w:ind w:firstLine="720" w:firstLineChars="300"/>
        <w:rPr>
          <w:rFonts w:hint="default" w:ascii="仿宋" w:hAnsi="仿宋" w:eastAsia="仿宋" w:cs="仿宋"/>
          <w:bCs/>
          <w:sz w:val="24"/>
          <w:szCs w:val="24"/>
          <w:lang w:val="en-US" w:eastAsia="zh-CN"/>
        </w:rPr>
      </w:pPr>
      <w:r>
        <w:rPr>
          <w:rFonts w:hint="eastAsia" w:ascii="仿宋" w:hAnsi="仿宋" w:eastAsia="仿宋" w:cs="仿宋"/>
          <w:bCs/>
          <w:sz w:val="24"/>
          <w:szCs w:val="24"/>
        </w:rPr>
        <w:t>（2）拼车按次收取，装车费</w:t>
      </w:r>
      <w:r>
        <w:rPr>
          <w:rFonts w:hint="eastAsia" w:ascii="仿宋" w:hAnsi="仿宋" w:eastAsia="仿宋" w:cs="仿宋"/>
          <w:b/>
          <w:bCs/>
          <w:sz w:val="24"/>
          <w:szCs w:val="24"/>
          <w:u w:val="single"/>
        </w:rPr>
        <w:t xml:space="preserve"> </w:t>
      </w:r>
      <w:r>
        <w:rPr>
          <w:rFonts w:ascii="仿宋" w:hAnsi="仿宋" w:eastAsia="仿宋" w:cs="仿宋"/>
          <w:bCs/>
          <w:sz w:val="24"/>
          <w:szCs w:val="24"/>
          <w:u w:val="single"/>
        </w:rPr>
        <w:t xml:space="preserve"> </w:t>
      </w:r>
      <w:r>
        <w:rPr>
          <w:rFonts w:hint="eastAsia" w:ascii="仿宋" w:hAnsi="仿宋" w:eastAsia="仿宋" w:cs="仿宋"/>
          <w:bCs/>
          <w:color w:val="auto"/>
          <w:sz w:val="24"/>
          <w:szCs w:val="24"/>
          <w:u w:val="single"/>
        </w:rPr>
        <w:t>/</w:t>
      </w:r>
      <w:r>
        <w:rPr>
          <w:rFonts w:hint="eastAsia" w:ascii="仿宋" w:hAnsi="仿宋" w:eastAsia="仿宋" w:cs="仿宋"/>
          <w:b/>
          <w:bCs/>
          <w:color w:val="auto"/>
          <w:sz w:val="24"/>
          <w:szCs w:val="24"/>
          <w:u w:val="single"/>
        </w:rPr>
        <w:t xml:space="preserve"> </w:t>
      </w:r>
      <w:r>
        <w:rPr>
          <w:rFonts w:hint="eastAsia" w:ascii="仿宋" w:hAnsi="仿宋" w:eastAsia="仿宋" w:cs="仿宋"/>
          <w:b/>
          <w:bCs/>
          <w:sz w:val="24"/>
          <w:szCs w:val="24"/>
          <w:u w:val="single"/>
        </w:rPr>
        <w:t xml:space="preserve"> </w:t>
      </w:r>
      <w:r>
        <w:rPr>
          <w:rFonts w:hint="eastAsia" w:ascii="仿宋" w:hAnsi="仿宋" w:eastAsia="仿宋" w:cs="仿宋"/>
          <w:bCs/>
          <w:sz w:val="24"/>
          <w:szCs w:val="24"/>
        </w:rPr>
        <w:t>元/次。</w:t>
      </w:r>
    </w:p>
    <w:p w14:paraId="4C2B5680">
      <w:pPr>
        <w:spacing w:after="120" w:afterLines="50" w:line="320" w:lineRule="exact"/>
        <w:ind w:firstLine="560" w:firstLineChars="200"/>
        <w:rPr>
          <w:rFonts w:ascii="仿宋" w:hAnsi="仿宋" w:eastAsia="仿宋" w:cs="仿宋"/>
          <w:sz w:val="24"/>
          <w:szCs w:val="24"/>
        </w:rPr>
      </w:pPr>
      <w:r>
        <w:rPr>
          <w:rFonts w:hint="eastAsia" w:ascii="仿宋_GB2312" w:hAnsi="宋体" w:eastAsia="仿宋_GB2312"/>
          <w:sz w:val="28"/>
          <w:szCs w:val="28"/>
        </w:rPr>
        <w:t>4.□清理费</w:t>
      </w:r>
      <w:r>
        <w:rPr>
          <w:rFonts w:hint="eastAsia" w:ascii="仿宋" w:hAnsi="仿宋" w:eastAsia="仿宋" w:cs="仿宋"/>
          <w:b/>
          <w:bCs/>
          <w:sz w:val="24"/>
          <w:szCs w:val="24"/>
          <w:u w:val="single"/>
        </w:rPr>
        <w:t xml:space="preserve"> </w:t>
      </w:r>
      <w:r>
        <w:rPr>
          <w:rFonts w:ascii="仿宋" w:hAnsi="仿宋" w:eastAsia="仿宋" w:cs="仿宋"/>
          <w:bCs/>
          <w:sz w:val="24"/>
          <w:szCs w:val="24"/>
          <w:u w:val="single"/>
        </w:rPr>
        <w:t xml:space="preserve"> </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w:t>
      </w:r>
      <w:r>
        <w:rPr>
          <w:rFonts w:hint="eastAsia" w:ascii="仿宋" w:hAnsi="仿宋" w:eastAsia="仿宋" w:cs="仿宋"/>
          <w:bCs/>
          <w:sz w:val="24"/>
          <w:szCs w:val="24"/>
          <w:u w:val="single"/>
        </w:rPr>
        <w:t xml:space="preserve">          </w:t>
      </w:r>
      <w:r>
        <w:rPr>
          <w:rFonts w:hint="eastAsia" w:ascii="仿宋" w:hAnsi="仿宋" w:eastAsia="仿宋" w:cs="仿宋"/>
          <w:b/>
          <w:bCs/>
          <w:sz w:val="24"/>
          <w:szCs w:val="24"/>
          <w:u w:val="single"/>
        </w:rPr>
        <w:t xml:space="preserve">  </w:t>
      </w:r>
      <w:r>
        <w:rPr>
          <w:rFonts w:hint="eastAsia" w:ascii="仿宋" w:hAnsi="仿宋" w:eastAsia="仿宋" w:cs="仿宋"/>
          <w:sz w:val="24"/>
          <w:szCs w:val="24"/>
        </w:rPr>
        <w:t>元。</w:t>
      </w:r>
    </w:p>
    <w:p w14:paraId="2BE8F70D">
      <w:pPr>
        <w:spacing w:after="120" w:afterLines="50" w:line="320" w:lineRule="exact"/>
        <w:ind w:firstLine="560" w:firstLineChars="200"/>
        <w:rPr>
          <w:rFonts w:ascii="仿宋" w:hAnsi="仿宋" w:eastAsia="仿宋" w:cs="仿宋"/>
          <w:sz w:val="24"/>
          <w:szCs w:val="24"/>
        </w:rPr>
      </w:pPr>
      <w:r>
        <w:rPr>
          <w:rFonts w:hint="eastAsia" w:ascii="仿宋_GB2312" w:hAnsi="宋体" w:eastAsia="仿宋_GB2312"/>
          <w:sz w:val="28"/>
          <w:szCs w:val="28"/>
        </w:rPr>
        <w:t>5.</w:t>
      </w:r>
      <w:r>
        <w:rPr>
          <w:rFonts w:hint="eastAsia" w:ascii="仿宋" w:hAnsi="仿宋" w:eastAsia="仿宋" w:cs="仿宋"/>
          <w:sz w:val="28"/>
          <w:szCs w:val="28"/>
        </w:rPr>
        <w:t>□</w:t>
      </w:r>
      <w:r>
        <w:rPr>
          <w:rFonts w:hint="eastAsia" w:ascii="仿宋_GB2312" w:hAnsi="宋体" w:eastAsia="仿宋_GB2312"/>
          <w:sz w:val="28"/>
          <w:szCs w:val="28"/>
        </w:rPr>
        <w:t>包装材料费</w:t>
      </w:r>
      <w:r>
        <w:rPr>
          <w:rFonts w:hint="eastAsia" w:ascii="仿宋" w:hAnsi="仿宋" w:eastAsia="仿宋" w:cs="仿宋"/>
          <w:b/>
          <w:bCs/>
          <w:sz w:val="24"/>
          <w:szCs w:val="24"/>
          <w:u w:val="single"/>
        </w:rPr>
        <w:t xml:space="preserve"> </w:t>
      </w:r>
      <w:r>
        <w:rPr>
          <w:rFonts w:ascii="仿宋" w:hAnsi="仿宋" w:eastAsia="仿宋" w:cs="仿宋"/>
          <w:bCs/>
          <w:sz w:val="24"/>
          <w:szCs w:val="24"/>
          <w:u w:val="single"/>
        </w:rPr>
        <w:t xml:space="preserve"> </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w:t>
      </w:r>
      <w:r>
        <w:rPr>
          <w:rFonts w:hint="eastAsia" w:ascii="仿宋" w:hAnsi="仿宋" w:eastAsia="仿宋" w:cs="仿宋"/>
          <w:b/>
          <w:bCs/>
          <w:sz w:val="24"/>
          <w:szCs w:val="24"/>
          <w:u w:val="single"/>
        </w:rPr>
        <w:t xml:space="preserve">         </w:t>
      </w:r>
      <w:r>
        <w:rPr>
          <w:rFonts w:hint="eastAsia" w:ascii="仿宋" w:hAnsi="仿宋" w:eastAsia="仿宋" w:cs="仿宋"/>
          <w:sz w:val="24"/>
          <w:szCs w:val="24"/>
        </w:rPr>
        <w:t>元/吨。</w:t>
      </w:r>
    </w:p>
    <w:p w14:paraId="4791FF15">
      <w:pPr>
        <w:spacing w:after="120" w:afterLines="50" w:line="320" w:lineRule="exact"/>
        <w:ind w:firstLine="560" w:firstLineChars="200"/>
        <w:rPr>
          <w:rFonts w:ascii="仿宋_GB2312" w:hAnsi="宋体" w:eastAsia="仿宋_GB2312"/>
          <w:sz w:val="28"/>
          <w:szCs w:val="28"/>
        </w:rPr>
      </w:pPr>
      <w:r>
        <w:rPr>
          <w:rFonts w:hint="eastAsia" w:ascii="仿宋_GB2312" w:hAnsi="宋体" w:eastAsia="仿宋_GB2312"/>
          <w:sz w:val="28"/>
          <w:szCs w:val="28"/>
        </w:rPr>
        <w:t>6.</w:t>
      </w:r>
      <w:r>
        <w:rPr>
          <w:rFonts w:hint="eastAsia" w:ascii="仿宋_GB2312" w:hAnsi="宋体" w:eastAsia="仿宋_GB2312"/>
          <w:sz w:val="28"/>
          <w:szCs w:val="28"/>
          <w:lang w:eastAsia="zh-CN"/>
        </w:rPr>
        <w:t>□</w:t>
      </w:r>
      <w:r>
        <w:rPr>
          <w:rFonts w:hint="eastAsia" w:ascii="仿宋_GB2312" w:hAnsi="宋体" w:eastAsia="仿宋_GB2312"/>
          <w:sz w:val="28"/>
          <w:szCs w:val="28"/>
          <w:u w:val="none"/>
          <w:lang w:val="en-US" w:eastAsia="zh-CN"/>
        </w:rPr>
        <w:t>其他</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4"/>
          <w:szCs w:val="24"/>
          <w:u w:val="single"/>
          <w:lang w:val="en-US" w:eastAsia="zh-CN"/>
        </w:rPr>
        <w:t xml:space="preserve">          /           </w:t>
      </w:r>
      <w:r>
        <w:rPr>
          <w:rFonts w:hint="eastAsia" w:ascii="仿宋_GB2312" w:hAnsi="宋体" w:eastAsia="仿宋_GB2312"/>
          <w:color w:val="auto"/>
          <w:sz w:val="24"/>
          <w:szCs w:val="24"/>
        </w:rPr>
        <w:t>元</w:t>
      </w:r>
      <w:r>
        <w:rPr>
          <w:rFonts w:hint="eastAsia" w:ascii="仿宋_GB2312" w:hAnsi="宋体" w:eastAsia="仿宋_GB2312"/>
          <w:sz w:val="24"/>
          <w:szCs w:val="24"/>
        </w:rPr>
        <w:t>。</w:t>
      </w:r>
    </w:p>
    <w:p w14:paraId="29763EF2">
      <w:pPr>
        <w:spacing w:after="120" w:afterLines="50" w:line="320" w:lineRule="exact"/>
        <w:ind w:firstLine="560" w:firstLineChars="200"/>
        <w:rPr>
          <w:rFonts w:ascii="仿宋_GB2312" w:hAnsi="宋体" w:eastAsia="仿宋_GB2312"/>
          <w:sz w:val="28"/>
          <w:szCs w:val="28"/>
        </w:rPr>
      </w:pPr>
      <w:r>
        <w:rPr>
          <w:rFonts w:hint="eastAsia" w:ascii="仿宋_GB2312" w:hAnsi="宋体" w:eastAsia="仿宋_GB2312"/>
          <w:sz w:val="28"/>
          <w:szCs w:val="28"/>
        </w:rPr>
        <w:t>注：以上价格均为含税价。</w:t>
      </w:r>
    </w:p>
    <w:p w14:paraId="132E6EC0">
      <w:pPr>
        <w:spacing w:after="120" w:afterLines="50" w:line="320" w:lineRule="exact"/>
        <w:ind w:firstLine="560" w:firstLineChars="200"/>
        <w:rPr>
          <w:rFonts w:ascii="楷体" w:hAnsi="楷体" w:eastAsia="楷体" w:cs="楷体"/>
          <w:bCs/>
          <w:sz w:val="28"/>
          <w:szCs w:val="28"/>
        </w:rPr>
      </w:pPr>
      <w:r>
        <w:rPr>
          <w:rFonts w:hint="eastAsia" w:ascii="仿宋_GB2312" w:hAnsi="宋体" w:eastAsia="仿宋_GB2312"/>
          <w:sz w:val="28"/>
          <w:szCs w:val="28"/>
        </w:rPr>
        <w:t xml:space="preserve">    </w:t>
      </w:r>
      <w:r>
        <w:rPr>
          <w:rFonts w:hint="eastAsia" w:ascii="楷体" w:hAnsi="楷体" w:eastAsia="楷体" w:cs="楷体"/>
          <w:bCs/>
          <w:sz w:val="28"/>
          <w:szCs w:val="28"/>
        </w:rPr>
        <w:t>（二）综合价格</w:t>
      </w:r>
    </w:p>
    <w:p w14:paraId="2D156250">
      <w:pPr>
        <w:spacing w:after="120" w:afterLines="50" w:line="320" w:lineRule="exact"/>
        <w:ind w:firstLine="720" w:firstLineChars="300"/>
        <w:rPr>
          <w:rFonts w:ascii="仿宋" w:hAnsi="仿宋" w:eastAsia="仿宋"/>
          <w:bCs/>
          <w:sz w:val="24"/>
          <w:szCs w:val="24"/>
        </w:rPr>
      </w:pPr>
      <w:r>
        <w:rPr>
          <w:rFonts w:hint="eastAsia" w:ascii="仿宋" w:hAnsi="仿宋" w:eastAsia="仿宋"/>
          <w:bCs/>
          <w:sz w:val="24"/>
          <w:szCs w:val="24"/>
        </w:rPr>
        <w:t>本次服务费采用第</w:t>
      </w:r>
      <w:r>
        <w:rPr>
          <w:rFonts w:hint="eastAsia" w:ascii="仿宋" w:hAnsi="仿宋" w:eastAsia="仿宋" w:cs="仿宋"/>
          <w:b/>
          <w:bCs/>
          <w:sz w:val="24"/>
          <w:szCs w:val="24"/>
          <w:u w:val="single"/>
        </w:rPr>
        <w:t xml:space="preserve"> </w:t>
      </w:r>
      <w:r>
        <w:rPr>
          <w:rFonts w:ascii="仿宋" w:hAnsi="仿宋" w:eastAsia="仿宋" w:cs="仿宋"/>
          <w:bCs/>
          <w:sz w:val="24"/>
          <w:szCs w:val="24"/>
          <w:u w:val="single"/>
        </w:rPr>
        <w:t xml:space="preserve"> </w:t>
      </w:r>
      <w:r>
        <w:rPr>
          <w:rFonts w:hint="eastAsia" w:ascii="仿宋" w:hAnsi="仿宋" w:eastAsia="仿宋" w:cs="仿宋"/>
          <w:bCs/>
          <w:sz w:val="24"/>
          <w:szCs w:val="24"/>
          <w:u w:val="single"/>
        </w:rPr>
        <w:t xml:space="preserve">  </w:t>
      </w:r>
      <w:r>
        <w:rPr>
          <w:rFonts w:hint="eastAsia" w:ascii="仿宋" w:hAnsi="仿宋" w:eastAsia="仿宋" w:cs="仿宋"/>
          <w:b w:val="0"/>
          <w:bCs/>
          <w:color w:val="FF0000"/>
          <w:sz w:val="24"/>
          <w:szCs w:val="24"/>
          <w:u w:val="single"/>
          <w:lang w:val="en-US" w:eastAsia="zh-CN"/>
        </w:rPr>
        <w:t>2</w:t>
      </w:r>
      <w:r>
        <w:rPr>
          <w:rFonts w:hint="eastAsia" w:ascii="仿宋" w:hAnsi="仿宋" w:eastAsia="仿宋" w:cs="仿宋"/>
          <w:bCs/>
          <w:sz w:val="24"/>
          <w:szCs w:val="24"/>
          <w:u w:val="single"/>
        </w:rPr>
        <w:t xml:space="preserve"> </w:t>
      </w:r>
      <w:r>
        <w:rPr>
          <w:rFonts w:hint="eastAsia" w:ascii="仿宋" w:hAnsi="仿宋" w:eastAsia="仿宋" w:cs="仿宋"/>
          <w:b/>
          <w:bCs/>
          <w:sz w:val="24"/>
          <w:szCs w:val="24"/>
          <w:u w:val="single"/>
        </w:rPr>
        <w:t xml:space="preserve">   </w:t>
      </w:r>
      <w:r>
        <w:rPr>
          <w:rFonts w:hint="eastAsia" w:ascii="仿宋" w:hAnsi="仿宋" w:eastAsia="仿宋"/>
          <w:bCs/>
          <w:sz w:val="24"/>
          <w:szCs w:val="24"/>
        </w:rPr>
        <w:t>种价格。</w:t>
      </w:r>
    </w:p>
    <w:p w14:paraId="6E1AA4DA">
      <w:pPr>
        <w:spacing w:after="120" w:afterLines="50" w:line="320" w:lineRule="exact"/>
        <w:ind w:firstLine="480" w:firstLineChars="200"/>
        <w:rPr>
          <w:rFonts w:ascii="仿宋" w:hAnsi="仿宋" w:eastAsia="仿宋"/>
          <w:bCs/>
          <w:sz w:val="24"/>
          <w:szCs w:val="24"/>
        </w:rPr>
      </w:pPr>
      <w:r>
        <w:rPr>
          <w:rFonts w:hint="eastAsia" w:ascii="仿宋" w:hAnsi="仿宋" w:eastAsia="仿宋"/>
          <w:bCs/>
          <w:sz w:val="24"/>
          <w:szCs w:val="24"/>
        </w:rPr>
        <w:t>1.总价包干方式，包干总价</w:t>
      </w:r>
      <w:r>
        <w:rPr>
          <w:rFonts w:hint="eastAsia" w:ascii="仿宋" w:hAnsi="仿宋" w:eastAsia="仿宋"/>
          <w:b/>
          <w:bCs/>
          <w:color w:val="auto"/>
          <w:sz w:val="24"/>
          <w:szCs w:val="24"/>
          <w:u w:val="single"/>
          <w:lang w:val="en-US" w:eastAsia="zh-CN"/>
        </w:rPr>
        <w:t xml:space="preserve">    </w:t>
      </w:r>
      <w:r>
        <w:rPr>
          <w:rFonts w:hint="eastAsia" w:ascii="仿宋" w:hAnsi="仿宋" w:eastAsia="仿宋"/>
          <w:b w:val="0"/>
          <w:bCs w:val="0"/>
          <w:color w:val="auto"/>
          <w:sz w:val="24"/>
          <w:szCs w:val="24"/>
          <w:u w:val="single"/>
          <w:lang w:val="en-US" w:eastAsia="zh-CN"/>
        </w:rPr>
        <w:t>/</w:t>
      </w:r>
      <w:r>
        <w:rPr>
          <w:rFonts w:hint="eastAsia" w:ascii="仿宋" w:hAnsi="仿宋" w:eastAsia="仿宋"/>
          <w:b/>
          <w:bCs/>
          <w:color w:val="auto"/>
          <w:sz w:val="24"/>
          <w:szCs w:val="24"/>
          <w:u w:val="single"/>
          <w:lang w:val="en-US" w:eastAsia="zh-CN"/>
        </w:rPr>
        <w:t xml:space="preserve">   </w:t>
      </w:r>
      <w:r>
        <w:rPr>
          <w:rFonts w:hint="eastAsia" w:ascii="仿宋" w:hAnsi="仿宋" w:eastAsia="仿宋"/>
          <w:bCs/>
          <w:color w:val="auto"/>
          <w:sz w:val="24"/>
          <w:szCs w:val="24"/>
        </w:rPr>
        <w:t>元</w:t>
      </w:r>
      <w:r>
        <w:rPr>
          <w:rFonts w:hint="eastAsia" w:ascii="仿宋" w:hAnsi="仿宋" w:eastAsia="仿宋"/>
          <w:bCs/>
          <w:sz w:val="24"/>
          <w:szCs w:val="24"/>
        </w:rPr>
        <w:t>（大写人民币</w:t>
      </w:r>
      <w:r>
        <w:rPr>
          <w:rFonts w:hint="eastAsia" w:ascii="仿宋" w:hAnsi="仿宋" w:eastAsia="仿宋"/>
          <w:bCs/>
          <w:sz w:val="24"/>
          <w:szCs w:val="24"/>
          <w:u w:val="single"/>
          <w:lang w:val="en-US" w:eastAsia="zh-CN"/>
        </w:rPr>
        <w:t xml:space="preserve">    /   </w:t>
      </w:r>
      <w:r>
        <w:rPr>
          <w:rFonts w:hint="eastAsia" w:ascii="仿宋" w:hAnsi="仿宋" w:eastAsia="仿宋"/>
          <w:bCs/>
          <w:sz w:val="24"/>
          <w:szCs w:val="24"/>
        </w:rPr>
        <w:t>元</w:t>
      </w:r>
      <w:r>
        <w:rPr>
          <w:rFonts w:hint="eastAsia" w:ascii="仿宋" w:hAnsi="仿宋" w:eastAsia="仿宋"/>
          <w:bCs/>
          <w:sz w:val="24"/>
          <w:szCs w:val="24"/>
          <w:lang w:val="en-US" w:eastAsia="zh-CN"/>
        </w:rPr>
        <w:t>整</w:t>
      </w:r>
      <w:r>
        <w:rPr>
          <w:rFonts w:hint="eastAsia" w:ascii="仿宋" w:hAnsi="仿宋" w:eastAsia="仿宋"/>
          <w:bCs/>
          <w:sz w:val="24"/>
          <w:szCs w:val="24"/>
        </w:rPr>
        <w:t>），</w:t>
      </w:r>
    </w:p>
    <w:p w14:paraId="6D85362F">
      <w:pPr>
        <w:spacing w:after="120" w:afterLines="50" w:line="320" w:lineRule="exact"/>
        <w:ind w:firstLine="720" w:firstLineChars="300"/>
        <w:rPr>
          <w:rFonts w:ascii="仿宋" w:hAnsi="仿宋" w:eastAsia="仿宋"/>
          <w:bCs/>
          <w:kern w:val="1"/>
          <w:sz w:val="24"/>
          <w:szCs w:val="24"/>
        </w:rPr>
      </w:pPr>
      <w:r>
        <w:rPr>
          <w:rFonts w:hint="eastAsia" w:ascii="仿宋" w:hAnsi="仿宋" w:eastAsia="仿宋"/>
          <w:bCs/>
          <w:sz w:val="24"/>
          <w:szCs w:val="24"/>
        </w:rPr>
        <w:t>包含了</w:t>
      </w:r>
      <w:r>
        <w:rPr>
          <w:rFonts w:hint="eastAsia" w:ascii="仿宋" w:hAnsi="仿宋" w:eastAsia="仿宋"/>
          <w:sz w:val="24"/>
          <w:szCs w:val="24"/>
        </w:rPr>
        <w:t>□</w:t>
      </w:r>
      <w:r>
        <w:rPr>
          <w:rFonts w:hint="eastAsia" w:ascii="仿宋" w:hAnsi="仿宋" w:eastAsia="仿宋"/>
          <w:bCs/>
          <w:sz w:val="24"/>
          <w:szCs w:val="24"/>
        </w:rPr>
        <w:t>处置、</w:t>
      </w:r>
      <w:r>
        <w:rPr>
          <w:rFonts w:hint="eastAsia" w:ascii="仿宋" w:hAnsi="仿宋" w:eastAsia="仿宋"/>
          <w:sz w:val="24"/>
          <w:szCs w:val="24"/>
        </w:rPr>
        <w:t>□</w:t>
      </w:r>
      <w:r>
        <w:rPr>
          <w:rFonts w:hint="eastAsia" w:ascii="仿宋" w:hAnsi="仿宋" w:eastAsia="仿宋"/>
          <w:bCs/>
          <w:sz w:val="24"/>
          <w:szCs w:val="24"/>
        </w:rPr>
        <w:t>运输、</w:t>
      </w:r>
      <w:r>
        <w:rPr>
          <w:rFonts w:hint="eastAsia" w:ascii="仿宋" w:hAnsi="仿宋" w:eastAsia="仿宋"/>
          <w:sz w:val="24"/>
          <w:szCs w:val="24"/>
        </w:rPr>
        <w:t>□</w:t>
      </w:r>
      <w:r>
        <w:rPr>
          <w:rFonts w:hint="eastAsia" w:ascii="仿宋" w:hAnsi="仿宋" w:eastAsia="仿宋"/>
          <w:bCs/>
          <w:kern w:val="1"/>
          <w:sz w:val="24"/>
          <w:szCs w:val="24"/>
        </w:rPr>
        <w:t>清理、</w:t>
      </w:r>
      <w:r>
        <w:rPr>
          <w:rFonts w:hint="eastAsia" w:ascii="仿宋" w:hAnsi="仿宋" w:eastAsia="仿宋"/>
          <w:kern w:val="1"/>
          <w:sz w:val="24"/>
          <w:szCs w:val="24"/>
        </w:rPr>
        <w:t>□</w:t>
      </w:r>
      <w:r>
        <w:rPr>
          <w:rFonts w:hint="eastAsia" w:ascii="仿宋" w:hAnsi="仿宋" w:eastAsia="仿宋"/>
          <w:bCs/>
          <w:kern w:val="1"/>
          <w:sz w:val="24"/>
          <w:szCs w:val="24"/>
        </w:rPr>
        <w:t>装车、</w:t>
      </w:r>
      <w:r>
        <w:rPr>
          <w:rFonts w:hint="eastAsia" w:ascii="仿宋" w:hAnsi="仿宋" w:eastAsia="仿宋"/>
          <w:kern w:val="1"/>
          <w:sz w:val="24"/>
          <w:szCs w:val="24"/>
          <w:lang w:eastAsia="zh-CN"/>
        </w:rPr>
        <w:t>□</w:t>
      </w:r>
      <w:r>
        <w:rPr>
          <w:rFonts w:hint="eastAsia" w:ascii="仿宋" w:hAnsi="仿宋" w:eastAsia="仿宋"/>
          <w:bCs/>
          <w:kern w:val="1"/>
          <w:sz w:val="24"/>
          <w:szCs w:val="24"/>
        </w:rPr>
        <w:t>包装、</w:t>
      </w:r>
      <w:r>
        <w:rPr>
          <w:rFonts w:hint="eastAsia" w:ascii="仿宋" w:hAnsi="仿宋" w:eastAsia="仿宋"/>
          <w:kern w:val="1"/>
          <w:sz w:val="24"/>
          <w:szCs w:val="24"/>
        </w:rPr>
        <w:t>□</w:t>
      </w:r>
      <w:r>
        <w:rPr>
          <w:rFonts w:hint="eastAsia" w:ascii="仿宋" w:hAnsi="仿宋" w:eastAsia="仿宋"/>
          <w:bCs/>
          <w:kern w:val="1"/>
          <w:sz w:val="24"/>
          <w:szCs w:val="24"/>
        </w:rPr>
        <w:t>其他</w:t>
      </w:r>
      <w:r>
        <w:rPr>
          <w:rFonts w:hint="eastAsia" w:ascii="仿宋" w:hAnsi="仿宋" w:eastAsia="仿宋"/>
          <w:bCs/>
          <w:kern w:val="1"/>
          <w:sz w:val="24"/>
          <w:szCs w:val="24"/>
          <w:u w:val="single"/>
        </w:rPr>
        <w:t xml:space="preserve">    /     </w:t>
      </w:r>
      <w:r>
        <w:rPr>
          <w:rFonts w:hint="eastAsia" w:ascii="仿宋" w:hAnsi="仿宋" w:eastAsia="仿宋"/>
          <w:bCs/>
          <w:kern w:val="1"/>
          <w:sz w:val="24"/>
          <w:szCs w:val="24"/>
        </w:rPr>
        <w:t>。</w:t>
      </w:r>
    </w:p>
    <w:p w14:paraId="1EBB562A">
      <w:pPr>
        <w:spacing w:after="120" w:afterLines="50" w:line="320" w:lineRule="exact"/>
        <w:ind w:firstLine="480" w:firstLineChars="200"/>
        <w:rPr>
          <w:rFonts w:ascii="仿宋" w:hAnsi="仿宋" w:eastAsia="仿宋"/>
          <w:sz w:val="24"/>
          <w:szCs w:val="24"/>
        </w:rPr>
      </w:pPr>
      <w:r>
        <w:rPr>
          <w:rFonts w:hint="eastAsia" w:ascii="仿宋" w:hAnsi="仿宋" w:eastAsia="仿宋"/>
          <w:bCs/>
          <w:sz w:val="24"/>
          <w:szCs w:val="24"/>
        </w:rPr>
        <w:t>2.固定综合单价方式，包含了</w:t>
      </w:r>
      <w:r>
        <w:rPr>
          <w:rFonts w:hint="eastAsia" w:ascii="仿宋" w:hAnsi="仿宋" w:eastAsia="仿宋"/>
          <w:bCs/>
          <w:sz w:val="24"/>
          <w:szCs w:val="24"/>
        </w:rPr>
        <w:sym w:font="Wingdings" w:char="00FE"/>
      </w:r>
      <w:r>
        <w:rPr>
          <w:rFonts w:hint="eastAsia" w:ascii="仿宋" w:hAnsi="仿宋" w:eastAsia="仿宋"/>
          <w:bCs/>
          <w:sz w:val="24"/>
          <w:szCs w:val="24"/>
        </w:rPr>
        <w:t>处置、</w:t>
      </w:r>
      <w:r>
        <w:rPr>
          <w:rFonts w:hint="eastAsia" w:ascii="仿宋" w:hAnsi="仿宋" w:eastAsia="仿宋"/>
          <w:bCs/>
          <w:sz w:val="24"/>
          <w:szCs w:val="24"/>
        </w:rPr>
        <w:sym w:font="Wingdings" w:char="00FE"/>
      </w:r>
      <w:r>
        <w:rPr>
          <w:rFonts w:hint="eastAsia" w:ascii="仿宋" w:hAnsi="仿宋" w:eastAsia="仿宋"/>
          <w:bCs/>
          <w:sz w:val="24"/>
          <w:szCs w:val="24"/>
        </w:rPr>
        <w:t>运输</w:t>
      </w:r>
      <w:r>
        <w:rPr>
          <w:rFonts w:hint="eastAsia" w:ascii="仿宋" w:hAnsi="仿宋" w:eastAsia="仿宋"/>
          <w:bCs/>
          <w:sz w:val="24"/>
          <w:szCs w:val="24"/>
          <w:lang w:eastAsia="zh-CN"/>
        </w:rPr>
        <w:t>、</w:t>
      </w:r>
      <w:r>
        <w:rPr>
          <w:rFonts w:hint="eastAsia" w:ascii="仿宋" w:hAnsi="仿宋" w:eastAsia="仿宋"/>
          <w:bCs/>
          <w:sz w:val="24"/>
          <w:szCs w:val="24"/>
        </w:rPr>
        <w:sym w:font="Wingdings" w:char="00FE"/>
      </w:r>
      <w:r>
        <w:rPr>
          <w:rFonts w:hint="eastAsia" w:ascii="仿宋" w:hAnsi="仿宋" w:eastAsia="仿宋"/>
          <w:bCs/>
          <w:sz w:val="24"/>
          <w:szCs w:val="24"/>
        </w:rPr>
        <w:t>清理、</w:t>
      </w:r>
      <w:r>
        <w:rPr>
          <w:rFonts w:hint="eastAsia" w:ascii="仿宋" w:hAnsi="仿宋" w:eastAsia="仿宋"/>
          <w:bCs/>
          <w:sz w:val="24"/>
          <w:szCs w:val="24"/>
        </w:rPr>
        <w:sym w:font="Wingdings" w:char="00FE"/>
      </w:r>
      <w:r>
        <w:rPr>
          <w:rFonts w:hint="eastAsia" w:ascii="仿宋" w:hAnsi="仿宋" w:eastAsia="仿宋"/>
          <w:bCs/>
          <w:sz w:val="24"/>
          <w:szCs w:val="24"/>
        </w:rPr>
        <w:t>装车、</w:t>
      </w:r>
      <w:r>
        <w:rPr>
          <w:rFonts w:hint="eastAsia" w:ascii="仿宋" w:hAnsi="仿宋" w:eastAsia="仿宋"/>
          <w:sz w:val="24"/>
          <w:szCs w:val="24"/>
        </w:rPr>
        <w:t>□</w:t>
      </w:r>
      <w:r>
        <w:rPr>
          <w:rFonts w:hint="eastAsia" w:ascii="仿宋" w:hAnsi="仿宋" w:eastAsia="仿宋"/>
          <w:bCs/>
          <w:sz w:val="24"/>
          <w:szCs w:val="24"/>
        </w:rPr>
        <w:t>包装、</w:t>
      </w:r>
      <w:r>
        <w:rPr>
          <w:rFonts w:hint="eastAsia" w:ascii="仿宋" w:hAnsi="仿宋" w:eastAsia="仿宋"/>
          <w:sz w:val="24"/>
          <w:szCs w:val="24"/>
        </w:rPr>
        <w:t>□</w:t>
      </w:r>
      <w:r>
        <w:rPr>
          <w:rFonts w:hint="eastAsia" w:ascii="仿宋" w:hAnsi="仿宋" w:eastAsia="仿宋"/>
          <w:bCs/>
          <w:sz w:val="24"/>
          <w:szCs w:val="24"/>
        </w:rPr>
        <w:t>其他</w:t>
      </w:r>
      <w:r>
        <w:rPr>
          <w:rFonts w:hint="eastAsia"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 </w:t>
      </w:r>
      <w:r>
        <w:rPr>
          <w:rFonts w:hint="eastAsia" w:ascii="仿宋" w:hAnsi="仿宋" w:eastAsia="仿宋"/>
          <w:bCs/>
          <w:sz w:val="24"/>
          <w:szCs w:val="24"/>
          <w:u w:val="single"/>
        </w:rPr>
        <w:t xml:space="preserve"> </w:t>
      </w:r>
      <w:r>
        <w:rPr>
          <w:rFonts w:hint="eastAsia" w:ascii="仿宋" w:hAnsi="仿宋" w:eastAsia="仿宋"/>
          <w:bCs/>
          <w:sz w:val="24"/>
          <w:szCs w:val="24"/>
        </w:rPr>
        <w:t>。</w:t>
      </w:r>
    </w:p>
    <w:p w14:paraId="102D89F0">
      <w:pPr>
        <w:pStyle w:val="21"/>
        <w:pBdr>
          <w:left w:val="none" w:color="000000" w:sz="0" w:space="0"/>
        </w:pBdr>
        <w:spacing w:line="400" w:lineRule="exact"/>
        <w:rPr>
          <w:rFonts w:hint="eastAsia" w:ascii="仿宋" w:hAnsi="仿宋" w:eastAsia="仿宋"/>
          <w:sz w:val="24"/>
          <w:szCs w:val="24"/>
        </w:rPr>
      </w:pPr>
      <w:r>
        <w:rPr>
          <w:rFonts w:hint="eastAsia" w:ascii="仿宋" w:hAnsi="仿宋" w:eastAsia="仿宋"/>
          <w:sz w:val="24"/>
          <w:szCs w:val="24"/>
        </w:rPr>
        <w:t>表3-2</w:t>
      </w:r>
    </w:p>
    <w:tbl>
      <w:tblPr>
        <w:tblStyle w:val="13"/>
        <w:tblpPr w:leftFromText="181" w:rightFromText="181" w:vertAnchor="text" w:horzAnchor="margin" w:tblpXSpec="center" w:tblpY="1"/>
        <w:tblOverlap w:val="never"/>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
        <w:gridCol w:w="1457"/>
        <w:gridCol w:w="1682"/>
        <w:gridCol w:w="1216"/>
        <w:gridCol w:w="1213"/>
        <w:gridCol w:w="1350"/>
        <w:gridCol w:w="1211"/>
        <w:gridCol w:w="1183"/>
      </w:tblGrid>
      <w:tr w14:paraId="0014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365" w:type="dxa"/>
            <w:tcBorders>
              <w:top w:val="single" w:color="auto" w:sz="4" w:space="0"/>
              <w:left w:val="single" w:color="auto" w:sz="4" w:space="0"/>
              <w:bottom w:val="single" w:color="auto" w:sz="4" w:space="0"/>
              <w:right w:val="single" w:color="auto" w:sz="4" w:space="0"/>
            </w:tcBorders>
            <w:noWrap w:val="0"/>
            <w:vAlign w:val="center"/>
          </w:tcPr>
          <w:p w14:paraId="7791A635">
            <w:pPr>
              <w:jc w:val="center"/>
              <w:rPr>
                <w:rFonts w:hint="eastAsia" w:ascii="仿宋" w:hAnsi="仿宋" w:eastAsia="仿宋" w:cs="仿宋"/>
                <w:b w:val="0"/>
                <w:bCs w:val="0"/>
                <w:kern w:val="2"/>
                <w:sz w:val="24"/>
                <w:szCs w:val="24"/>
              </w:rPr>
            </w:pPr>
            <w:r>
              <w:rPr>
                <w:rFonts w:hint="eastAsia" w:ascii="仿宋" w:hAnsi="仿宋" w:eastAsia="仿宋" w:cs="仿宋"/>
                <w:b w:val="0"/>
                <w:bCs w:val="0"/>
                <w:sz w:val="24"/>
                <w:szCs w:val="24"/>
              </w:rPr>
              <w:t>序号</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7CE1A01B">
            <w:pPr>
              <w:jc w:val="center"/>
              <w:rPr>
                <w:rFonts w:hint="eastAsia" w:ascii="仿宋" w:hAnsi="仿宋" w:eastAsia="仿宋" w:cs="仿宋"/>
                <w:b w:val="0"/>
                <w:bCs w:val="0"/>
                <w:kern w:val="2"/>
                <w:sz w:val="24"/>
                <w:szCs w:val="24"/>
              </w:rPr>
            </w:pPr>
            <w:r>
              <w:rPr>
                <w:rFonts w:hint="eastAsia" w:ascii="仿宋" w:hAnsi="仿宋" w:eastAsia="仿宋" w:cs="仿宋"/>
                <w:b w:val="0"/>
                <w:bCs w:val="0"/>
                <w:sz w:val="24"/>
                <w:szCs w:val="24"/>
              </w:rPr>
              <w:t>废物代码</w:t>
            </w:r>
          </w:p>
        </w:tc>
        <w:tc>
          <w:tcPr>
            <w:tcW w:w="1682" w:type="dxa"/>
            <w:tcBorders>
              <w:top w:val="single" w:color="auto" w:sz="4" w:space="0"/>
              <w:left w:val="single" w:color="auto" w:sz="4" w:space="0"/>
              <w:bottom w:val="single" w:color="auto" w:sz="4" w:space="0"/>
              <w:right w:val="single" w:color="auto" w:sz="4" w:space="0"/>
            </w:tcBorders>
            <w:noWrap w:val="0"/>
            <w:vAlign w:val="center"/>
          </w:tcPr>
          <w:p w14:paraId="13D21266">
            <w:pPr>
              <w:jc w:val="center"/>
              <w:rPr>
                <w:rFonts w:hint="eastAsia" w:ascii="仿宋" w:hAnsi="仿宋" w:eastAsia="仿宋" w:cs="仿宋"/>
                <w:b w:val="0"/>
                <w:bCs w:val="0"/>
                <w:kern w:val="2"/>
                <w:sz w:val="24"/>
                <w:szCs w:val="24"/>
              </w:rPr>
            </w:pPr>
            <w:r>
              <w:rPr>
                <w:rFonts w:hint="eastAsia" w:ascii="仿宋" w:hAnsi="仿宋" w:eastAsia="仿宋" w:cs="仿宋"/>
                <w:b w:val="0"/>
                <w:bCs w:val="0"/>
                <w:sz w:val="24"/>
                <w:szCs w:val="24"/>
              </w:rPr>
              <w:t>危废名称</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846F481">
            <w:pPr>
              <w:jc w:val="center"/>
              <w:rPr>
                <w:rFonts w:hint="eastAsia" w:ascii="仿宋" w:hAnsi="仿宋" w:eastAsia="仿宋" w:cs="仿宋"/>
                <w:b w:val="0"/>
                <w:bCs w:val="0"/>
                <w:kern w:val="2"/>
                <w:sz w:val="24"/>
                <w:szCs w:val="24"/>
              </w:rPr>
            </w:pPr>
            <w:r>
              <w:rPr>
                <w:rFonts w:hint="eastAsia" w:ascii="仿宋" w:hAnsi="仿宋" w:eastAsia="仿宋" w:cs="仿宋"/>
                <w:b w:val="0"/>
                <w:bCs w:val="0"/>
                <w:sz w:val="24"/>
                <w:szCs w:val="24"/>
              </w:rPr>
              <w:t>形态</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FC0FB53">
            <w:pPr>
              <w:jc w:val="center"/>
              <w:rPr>
                <w:rFonts w:hint="eastAsia" w:ascii="仿宋" w:hAnsi="仿宋" w:eastAsia="仿宋" w:cs="仿宋"/>
                <w:b w:val="0"/>
                <w:bCs w:val="0"/>
                <w:kern w:val="2"/>
                <w:sz w:val="24"/>
                <w:szCs w:val="24"/>
              </w:rPr>
            </w:pPr>
            <w:r>
              <w:rPr>
                <w:rFonts w:hint="eastAsia" w:ascii="仿宋" w:hAnsi="仿宋" w:eastAsia="仿宋" w:cs="仿宋"/>
                <w:b w:val="0"/>
                <w:bCs w:val="0"/>
                <w:sz w:val="24"/>
                <w:szCs w:val="24"/>
              </w:rPr>
              <w:t>预计处置量（</w:t>
            </w:r>
            <w:r>
              <w:rPr>
                <w:rFonts w:hint="eastAsia" w:ascii="仿宋" w:hAnsi="仿宋" w:eastAsia="仿宋" w:cs="仿宋"/>
                <w:b w:val="0"/>
                <w:bCs w:val="0"/>
                <w:sz w:val="24"/>
                <w:szCs w:val="24"/>
                <w:lang w:val="en-US" w:eastAsia="zh-CN"/>
              </w:rPr>
              <w:t>吨</w:t>
            </w:r>
            <w:r>
              <w:rPr>
                <w:rFonts w:hint="eastAsia" w:ascii="仿宋" w:hAnsi="仿宋" w:eastAsia="仿宋" w:cs="仿宋"/>
                <w:b w:val="0"/>
                <w:bCs w:val="0"/>
                <w:sz w:val="24"/>
                <w:szCs w:val="24"/>
              </w:rPr>
              <w:t>）</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E9F2A4A">
            <w:pPr>
              <w:jc w:val="center"/>
              <w:rPr>
                <w:rFonts w:hint="eastAsia" w:ascii="仿宋" w:hAnsi="仿宋" w:eastAsia="仿宋" w:cs="仿宋"/>
                <w:b w:val="0"/>
                <w:bCs w:val="0"/>
                <w:kern w:val="2"/>
                <w:sz w:val="24"/>
                <w:szCs w:val="24"/>
              </w:rPr>
            </w:pPr>
            <w:r>
              <w:rPr>
                <w:rFonts w:hint="eastAsia" w:ascii="仿宋" w:hAnsi="仿宋" w:eastAsia="仿宋" w:cs="仿宋"/>
                <w:b w:val="0"/>
                <w:bCs w:val="0"/>
                <w:sz w:val="24"/>
                <w:szCs w:val="24"/>
              </w:rPr>
              <w:t>处置单价</w:t>
            </w:r>
          </w:p>
          <w:p w14:paraId="7775FDAC">
            <w:pPr>
              <w:jc w:val="center"/>
              <w:rPr>
                <w:rFonts w:hint="eastAsia" w:ascii="仿宋" w:hAnsi="仿宋" w:eastAsia="仿宋" w:cs="仿宋"/>
                <w:b w:val="0"/>
                <w:bCs w:val="0"/>
                <w:kern w:val="2"/>
                <w:sz w:val="24"/>
                <w:szCs w:val="24"/>
              </w:rPr>
            </w:pPr>
            <w:r>
              <w:rPr>
                <w:rFonts w:hint="eastAsia" w:ascii="仿宋" w:hAnsi="仿宋" w:eastAsia="仿宋" w:cs="仿宋"/>
                <w:b w:val="0"/>
                <w:bCs w:val="0"/>
                <w:sz w:val="24"/>
                <w:szCs w:val="24"/>
              </w:rPr>
              <w:t>（元/</w:t>
            </w:r>
            <w:r>
              <w:rPr>
                <w:rFonts w:hint="eastAsia" w:ascii="仿宋" w:hAnsi="仿宋" w:eastAsia="仿宋" w:cs="仿宋"/>
                <w:b w:val="0"/>
                <w:bCs w:val="0"/>
                <w:sz w:val="24"/>
                <w:szCs w:val="24"/>
                <w:lang w:val="en-US" w:eastAsia="zh-CN"/>
              </w:rPr>
              <w:t>吨</w:t>
            </w:r>
            <w:r>
              <w:rPr>
                <w:rFonts w:hint="eastAsia" w:ascii="仿宋" w:hAnsi="仿宋" w:eastAsia="仿宋" w:cs="仿宋"/>
                <w:b w:val="0"/>
                <w:bCs w:val="0"/>
                <w:sz w:val="24"/>
                <w:szCs w:val="24"/>
              </w:rPr>
              <w:t>）</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6C81205B">
            <w:pPr>
              <w:jc w:val="center"/>
              <w:rPr>
                <w:rFonts w:hint="eastAsia" w:ascii="仿宋" w:hAnsi="仿宋" w:eastAsia="仿宋" w:cs="仿宋"/>
                <w:b w:val="0"/>
                <w:bCs w:val="0"/>
                <w:kern w:val="2"/>
                <w:sz w:val="24"/>
                <w:szCs w:val="24"/>
              </w:rPr>
            </w:pPr>
            <w:r>
              <w:rPr>
                <w:rFonts w:hint="eastAsia" w:ascii="仿宋" w:hAnsi="仿宋" w:eastAsia="仿宋" w:cs="仿宋"/>
                <w:b w:val="0"/>
                <w:bCs w:val="0"/>
                <w:sz w:val="24"/>
                <w:szCs w:val="24"/>
              </w:rPr>
              <w:t>预计处置费（元）</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0BBC8749">
            <w:pPr>
              <w:jc w:val="center"/>
              <w:rPr>
                <w:rFonts w:hint="eastAsia" w:ascii="仿宋" w:hAnsi="仿宋" w:eastAsia="仿宋" w:cs="仿宋"/>
                <w:b w:val="0"/>
                <w:bCs w:val="0"/>
                <w:kern w:val="2"/>
                <w:sz w:val="24"/>
                <w:szCs w:val="24"/>
              </w:rPr>
            </w:pPr>
            <w:r>
              <w:rPr>
                <w:rFonts w:hint="eastAsia" w:ascii="仿宋" w:hAnsi="仿宋" w:eastAsia="仿宋" w:cs="仿宋"/>
                <w:b w:val="0"/>
                <w:bCs w:val="0"/>
                <w:sz w:val="24"/>
                <w:szCs w:val="24"/>
              </w:rPr>
              <w:t>包装</w:t>
            </w:r>
          </w:p>
          <w:p w14:paraId="3B883EB8">
            <w:pPr>
              <w:jc w:val="center"/>
              <w:rPr>
                <w:rFonts w:hint="eastAsia" w:ascii="仿宋" w:hAnsi="仿宋" w:eastAsia="仿宋" w:cs="仿宋"/>
                <w:b w:val="0"/>
                <w:bCs w:val="0"/>
                <w:kern w:val="2"/>
                <w:sz w:val="24"/>
                <w:szCs w:val="24"/>
              </w:rPr>
            </w:pPr>
            <w:r>
              <w:rPr>
                <w:rFonts w:hint="eastAsia" w:ascii="仿宋" w:hAnsi="仿宋" w:eastAsia="仿宋" w:cs="仿宋"/>
                <w:b w:val="0"/>
                <w:bCs w:val="0"/>
                <w:sz w:val="24"/>
                <w:szCs w:val="24"/>
              </w:rPr>
              <w:t>方式</w:t>
            </w:r>
          </w:p>
        </w:tc>
      </w:tr>
      <w:tr w14:paraId="6341B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65" w:type="dxa"/>
            <w:tcBorders>
              <w:top w:val="single" w:color="auto" w:sz="4" w:space="0"/>
              <w:left w:val="single" w:color="auto" w:sz="4" w:space="0"/>
              <w:bottom w:val="single" w:color="auto" w:sz="4" w:space="0"/>
              <w:right w:val="single" w:color="auto" w:sz="4" w:space="0"/>
            </w:tcBorders>
            <w:noWrap w:val="0"/>
            <w:vAlign w:val="center"/>
          </w:tcPr>
          <w:p w14:paraId="6AE95905">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51F1746B">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rPr>
            </w:pPr>
            <w:r>
              <w:rPr>
                <w:rFonts w:hint="eastAsia" w:ascii="仿宋" w:hAnsi="仿宋" w:eastAsia="仿宋" w:cs="仿宋"/>
                <w:b w:val="0"/>
                <w:bCs w:val="0"/>
                <w:i w:val="0"/>
                <w:iCs w:val="0"/>
                <w:color w:val="000000"/>
                <w:kern w:val="2"/>
                <w:sz w:val="24"/>
                <w:szCs w:val="24"/>
                <w:u w:val="none"/>
                <w:lang w:val="en-US" w:eastAsia="zh-CN" w:bidi="ar-SA"/>
              </w:rPr>
              <w:t>/</w:t>
            </w:r>
          </w:p>
        </w:tc>
        <w:tc>
          <w:tcPr>
            <w:tcW w:w="1682" w:type="dxa"/>
            <w:tcBorders>
              <w:top w:val="single" w:color="auto" w:sz="4" w:space="0"/>
              <w:left w:val="single" w:color="auto" w:sz="4" w:space="0"/>
              <w:bottom w:val="single" w:color="auto" w:sz="4" w:space="0"/>
              <w:right w:val="single" w:color="auto" w:sz="4" w:space="0"/>
            </w:tcBorders>
            <w:noWrap w:val="0"/>
            <w:vAlign w:val="center"/>
          </w:tcPr>
          <w:p w14:paraId="2F43F9BB">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rPr>
            </w:pPr>
            <w:r>
              <w:rPr>
                <w:rFonts w:hint="eastAsia" w:ascii="仿宋" w:hAnsi="仿宋" w:eastAsia="仿宋" w:cs="仿宋"/>
                <w:b w:val="0"/>
                <w:bCs w:val="0"/>
                <w:i w:val="0"/>
                <w:iCs w:val="0"/>
                <w:color w:val="000000"/>
                <w:kern w:val="2"/>
                <w:sz w:val="24"/>
                <w:szCs w:val="24"/>
                <w:u w:val="none"/>
                <w:lang w:val="en-US" w:eastAsia="zh-CN" w:bidi="ar-SA"/>
              </w:rPr>
              <w:t>/</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338262C8">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i w:val="0"/>
                <w:iCs w:val="0"/>
                <w:color w:val="000000"/>
                <w:kern w:val="2"/>
                <w:sz w:val="24"/>
                <w:szCs w:val="24"/>
                <w:u w:val="none"/>
                <w:lang w:val="en-US" w:eastAsia="zh-CN" w:bidi="ar-SA"/>
              </w:rPr>
              <w:t>/</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4C631FC">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i w:val="0"/>
                <w:iCs w:val="0"/>
                <w:color w:val="000000"/>
                <w:kern w:val="2"/>
                <w:sz w:val="24"/>
                <w:szCs w:val="24"/>
                <w:u w:val="none"/>
                <w:lang w:val="en-US" w:eastAsia="zh-CN" w:bidi="ar-SA"/>
              </w:rPr>
              <w:t>/</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826EC5E">
            <w:pPr>
              <w:keepNext w:val="0"/>
              <w:keepLines w:val="0"/>
              <w:widowControl/>
              <w:suppressLineNumbers w:val="0"/>
              <w:jc w:val="center"/>
              <w:textAlignment w:val="center"/>
              <w:rPr>
                <w:rFonts w:hint="default" w:ascii="仿宋" w:hAnsi="仿宋" w:eastAsia="仿宋" w:cs="仿宋"/>
                <w:b w:val="0"/>
                <w:bCs w:val="0"/>
                <w:sz w:val="24"/>
                <w:szCs w:val="24"/>
                <w:lang w:val="en-US" w:eastAsia="zh-CN"/>
              </w:rPr>
            </w:pPr>
            <w:r>
              <w:rPr>
                <w:rFonts w:hint="eastAsia" w:ascii="仿宋" w:hAnsi="仿宋" w:eastAsia="仿宋" w:cs="仿宋"/>
                <w:b w:val="0"/>
                <w:bCs w:val="0"/>
                <w:i w:val="0"/>
                <w:iCs w:val="0"/>
                <w:color w:val="000000"/>
                <w:kern w:val="2"/>
                <w:sz w:val="24"/>
                <w:szCs w:val="24"/>
                <w:u w:val="none"/>
                <w:lang w:val="en-US" w:eastAsia="zh-CN" w:bidi="ar-SA"/>
              </w:rPr>
              <w:t>/</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7CDB4BED">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rPr>
            </w:pPr>
            <w:r>
              <w:rPr>
                <w:rFonts w:hint="eastAsia" w:ascii="仿宋" w:hAnsi="仿宋" w:eastAsia="仿宋" w:cs="仿宋"/>
                <w:b w:val="0"/>
                <w:bCs w:val="0"/>
                <w:i w:val="0"/>
                <w:iCs w:val="0"/>
                <w:color w:val="000000"/>
                <w:kern w:val="2"/>
                <w:sz w:val="24"/>
                <w:szCs w:val="24"/>
                <w:u w:val="none"/>
                <w:lang w:val="en-US" w:eastAsia="zh-CN" w:bidi="ar-SA"/>
              </w:rPr>
              <w:t>/</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479B73B7">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i w:val="0"/>
                <w:iCs w:val="0"/>
                <w:color w:val="000000"/>
                <w:kern w:val="2"/>
                <w:sz w:val="24"/>
                <w:szCs w:val="24"/>
                <w:u w:val="none"/>
                <w:lang w:val="en-US" w:eastAsia="zh-CN" w:bidi="ar-SA"/>
              </w:rPr>
              <w:t>/</w:t>
            </w:r>
          </w:p>
        </w:tc>
      </w:tr>
      <w:tr w14:paraId="73F2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65" w:type="dxa"/>
            <w:tcBorders>
              <w:top w:val="single" w:color="auto" w:sz="4" w:space="0"/>
              <w:left w:val="single" w:color="auto" w:sz="4" w:space="0"/>
              <w:bottom w:val="single" w:color="auto" w:sz="4" w:space="0"/>
              <w:right w:val="single" w:color="auto" w:sz="4" w:space="0"/>
            </w:tcBorders>
            <w:noWrap w:val="0"/>
            <w:vAlign w:val="center"/>
          </w:tcPr>
          <w:p w14:paraId="1835EC42">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5D0FE5E0">
            <w:pPr>
              <w:keepNext w:val="0"/>
              <w:keepLines w:val="0"/>
              <w:widowControl/>
              <w:suppressLineNumbers w:val="0"/>
              <w:jc w:val="center"/>
              <w:textAlignment w:val="center"/>
              <w:rPr>
                <w:rFonts w:hint="eastAsia" w:ascii="仿宋" w:hAnsi="仿宋" w:eastAsia="仿宋" w:cs="仿宋"/>
                <w:b w:val="0"/>
                <w:bCs w:val="0"/>
                <w:sz w:val="24"/>
                <w:szCs w:val="24"/>
              </w:rPr>
            </w:pPr>
            <w:r>
              <w:rPr>
                <w:rFonts w:hint="eastAsia" w:ascii="仿宋" w:hAnsi="仿宋" w:eastAsia="仿宋" w:cs="仿宋"/>
                <w:b w:val="0"/>
                <w:bCs w:val="0"/>
                <w:i w:val="0"/>
                <w:iCs w:val="0"/>
                <w:color w:val="000000"/>
                <w:kern w:val="2"/>
                <w:sz w:val="24"/>
                <w:szCs w:val="24"/>
                <w:u w:val="none"/>
                <w:lang w:val="en-US" w:eastAsia="zh-CN" w:bidi="ar-SA"/>
              </w:rPr>
              <w:t>/</w:t>
            </w:r>
          </w:p>
        </w:tc>
        <w:tc>
          <w:tcPr>
            <w:tcW w:w="1682" w:type="dxa"/>
            <w:tcBorders>
              <w:top w:val="single" w:color="auto" w:sz="4" w:space="0"/>
              <w:left w:val="single" w:color="auto" w:sz="4" w:space="0"/>
              <w:bottom w:val="single" w:color="auto" w:sz="4" w:space="0"/>
              <w:right w:val="single" w:color="auto" w:sz="4" w:space="0"/>
            </w:tcBorders>
            <w:noWrap w:val="0"/>
            <w:vAlign w:val="center"/>
          </w:tcPr>
          <w:p w14:paraId="63D5D242">
            <w:pPr>
              <w:keepNext w:val="0"/>
              <w:keepLines w:val="0"/>
              <w:widowControl/>
              <w:suppressLineNumbers w:val="0"/>
              <w:jc w:val="center"/>
              <w:textAlignment w:val="center"/>
              <w:rPr>
                <w:rFonts w:hint="eastAsia" w:ascii="仿宋" w:hAnsi="仿宋" w:eastAsia="仿宋" w:cs="仿宋"/>
                <w:b w:val="0"/>
                <w:bCs w:val="0"/>
                <w:sz w:val="24"/>
                <w:szCs w:val="24"/>
              </w:rPr>
            </w:pPr>
            <w:r>
              <w:rPr>
                <w:rFonts w:hint="eastAsia" w:ascii="仿宋" w:hAnsi="仿宋" w:eastAsia="仿宋" w:cs="仿宋"/>
                <w:b w:val="0"/>
                <w:bCs w:val="0"/>
                <w:i w:val="0"/>
                <w:iCs w:val="0"/>
                <w:color w:val="000000"/>
                <w:kern w:val="2"/>
                <w:sz w:val="24"/>
                <w:szCs w:val="24"/>
                <w:u w:val="none"/>
                <w:lang w:val="en-US" w:eastAsia="zh-CN" w:bidi="ar-SA"/>
              </w:rPr>
              <w:t>/</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3633C6B6">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i w:val="0"/>
                <w:iCs w:val="0"/>
                <w:color w:val="000000"/>
                <w:kern w:val="2"/>
                <w:sz w:val="24"/>
                <w:szCs w:val="24"/>
                <w:u w:val="none"/>
                <w:lang w:val="en-US" w:eastAsia="zh-CN" w:bidi="ar-SA"/>
              </w:rPr>
              <w:t>/</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47AA55C3">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i w:val="0"/>
                <w:iCs w:val="0"/>
                <w:color w:val="000000"/>
                <w:kern w:val="2"/>
                <w:sz w:val="24"/>
                <w:szCs w:val="24"/>
                <w:u w:val="none"/>
                <w:lang w:val="en-US" w:eastAsia="zh-CN" w:bidi="ar-SA"/>
              </w:rPr>
              <w:t>/</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97AF8CA">
            <w:pPr>
              <w:keepNext w:val="0"/>
              <w:keepLines w:val="0"/>
              <w:widowControl/>
              <w:suppressLineNumbers w:val="0"/>
              <w:jc w:val="center"/>
              <w:textAlignment w:val="center"/>
              <w:rPr>
                <w:rFonts w:hint="default" w:ascii="仿宋" w:hAnsi="仿宋" w:eastAsia="仿宋" w:cs="仿宋"/>
                <w:b w:val="0"/>
                <w:bCs w:val="0"/>
                <w:sz w:val="24"/>
                <w:szCs w:val="24"/>
                <w:lang w:val="en-US" w:eastAsia="zh-CN"/>
              </w:rPr>
            </w:pPr>
            <w:r>
              <w:rPr>
                <w:rFonts w:hint="eastAsia" w:ascii="仿宋" w:hAnsi="仿宋" w:eastAsia="仿宋" w:cs="仿宋"/>
                <w:b w:val="0"/>
                <w:bCs w:val="0"/>
                <w:i w:val="0"/>
                <w:iCs w:val="0"/>
                <w:color w:val="000000"/>
                <w:kern w:val="2"/>
                <w:sz w:val="24"/>
                <w:szCs w:val="24"/>
                <w:u w:val="none"/>
                <w:lang w:val="en-US" w:eastAsia="zh-CN" w:bidi="ar-SA"/>
              </w:rPr>
              <w:t>/</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31A719AD">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rPr>
            </w:pPr>
            <w:r>
              <w:rPr>
                <w:rFonts w:hint="eastAsia" w:ascii="仿宋" w:hAnsi="仿宋" w:eastAsia="仿宋" w:cs="仿宋"/>
                <w:b w:val="0"/>
                <w:bCs w:val="0"/>
                <w:i w:val="0"/>
                <w:iCs w:val="0"/>
                <w:color w:val="000000"/>
                <w:kern w:val="2"/>
                <w:sz w:val="24"/>
                <w:szCs w:val="24"/>
                <w:u w:val="none"/>
                <w:lang w:val="en-US" w:eastAsia="zh-CN" w:bidi="ar-SA"/>
              </w:rPr>
              <w:t>/</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1D3ABA89">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i w:val="0"/>
                <w:iCs w:val="0"/>
                <w:color w:val="000000"/>
                <w:kern w:val="2"/>
                <w:sz w:val="24"/>
                <w:szCs w:val="24"/>
                <w:u w:val="none"/>
                <w:lang w:val="en-US" w:eastAsia="zh-CN" w:bidi="ar-SA"/>
              </w:rPr>
              <w:t>/</w:t>
            </w:r>
          </w:p>
        </w:tc>
      </w:tr>
      <w:tr w14:paraId="0593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65" w:type="dxa"/>
            <w:tcBorders>
              <w:top w:val="single" w:color="auto" w:sz="4" w:space="0"/>
              <w:left w:val="single" w:color="auto" w:sz="4" w:space="0"/>
              <w:bottom w:val="single" w:color="auto" w:sz="4" w:space="0"/>
              <w:right w:val="single" w:color="auto" w:sz="4" w:space="0"/>
            </w:tcBorders>
            <w:noWrap w:val="0"/>
            <w:vAlign w:val="center"/>
          </w:tcPr>
          <w:p w14:paraId="0EBCCCDE">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2B9D0402">
            <w:pPr>
              <w:keepNext w:val="0"/>
              <w:keepLines w:val="0"/>
              <w:widowControl/>
              <w:suppressLineNumbers w:val="0"/>
              <w:jc w:val="center"/>
              <w:textAlignment w:val="center"/>
              <w:rPr>
                <w:rFonts w:hint="eastAsia" w:ascii="仿宋" w:hAnsi="仿宋" w:eastAsia="仿宋" w:cs="仿宋"/>
                <w:b w:val="0"/>
                <w:bCs w:val="0"/>
                <w:sz w:val="24"/>
                <w:szCs w:val="24"/>
              </w:rPr>
            </w:pPr>
            <w:r>
              <w:rPr>
                <w:rFonts w:hint="eastAsia" w:ascii="仿宋" w:hAnsi="仿宋" w:eastAsia="仿宋" w:cs="仿宋"/>
                <w:b w:val="0"/>
                <w:bCs w:val="0"/>
                <w:i w:val="0"/>
                <w:iCs w:val="0"/>
                <w:color w:val="000000"/>
                <w:kern w:val="2"/>
                <w:sz w:val="24"/>
                <w:szCs w:val="24"/>
                <w:u w:val="none"/>
                <w:lang w:val="en-US" w:eastAsia="zh-CN" w:bidi="ar-SA"/>
              </w:rPr>
              <w:t>/</w:t>
            </w:r>
          </w:p>
        </w:tc>
        <w:tc>
          <w:tcPr>
            <w:tcW w:w="1682" w:type="dxa"/>
            <w:tcBorders>
              <w:top w:val="single" w:color="auto" w:sz="4" w:space="0"/>
              <w:left w:val="single" w:color="auto" w:sz="4" w:space="0"/>
              <w:bottom w:val="single" w:color="auto" w:sz="4" w:space="0"/>
              <w:right w:val="single" w:color="auto" w:sz="4" w:space="0"/>
            </w:tcBorders>
            <w:noWrap w:val="0"/>
            <w:vAlign w:val="center"/>
          </w:tcPr>
          <w:p w14:paraId="130930CB">
            <w:pPr>
              <w:keepNext w:val="0"/>
              <w:keepLines w:val="0"/>
              <w:widowControl/>
              <w:suppressLineNumbers w:val="0"/>
              <w:jc w:val="center"/>
              <w:textAlignment w:val="center"/>
              <w:rPr>
                <w:rFonts w:hint="eastAsia" w:ascii="仿宋" w:hAnsi="仿宋" w:eastAsia="仿宋" w:cs="仿宋"/>
                <w:b w:val="0"/>
                <w:bCs w:val="0"/>
                <w:sz w:val="24"/>
                <w:szCs w:val="24"/>
              </w:rPr>
            </w:pPr>
            <w:r>
              <w:rPr>
                <w:rFonts w:hint="eastAsia" w:ascii="仿宋" w:hAnsi="仿宋" w:eastAsia="仿宋" w:cs="仿宋"/>
                <w:b w:val="0"/>
                <w:bCs w:val="0"/>
                <w:i w:val="0"/>
                <w:iCs w:val="0"/>
                <w:color w:val="000000"/>
                <w:kern w:val="2"/>
                <w:sz w:val="24"/>
                <w:szCs w:val="24"/>
                <w:u w:val="none"/>
                <w:lang w:val="en-US" w:eastAsia="zh-CN" w:bidi="ar-SA"/>
              </w:rPr>
              <w:t>/</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5ACE856">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i w:val="0"/>
                <w:iCs w:val="0"/>
                <w:color w:val="000000"/>
                <w:kern w:val="2"/>
                <w:sz w:val="24"/>
                <w:szCs w:val="24"/>
                <w:u w:val="none"/>
                <w:lang w:val="en-US" w:eastAsia="zh-CN" w:bidi="ar-SA"/>
              </w:rPr>
              <w:t>/</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129C29D1">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i w:val="0"/>
                <w:iCs w:val="0"/>
                <w:color w:val="000000"/>
                <w:kern w:val="2"/>
                <w:sz w:val="24"/>
                <w:szCs w:val="24"/>
                <w:u w:val="none"/>
                <w:lang w:val="en-US" w:eastAsia="zh-CN" w:bidi="ar-SA"/>
              </w:rPr>
              <w:t>/</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49CE095">
            <w:pPr>
              <w:keepNext w:val="0"/>
              <w:keepLines w:val="0"/>
              <w:widowControl/>
              <w:suppressLineNumbers w:val="0"/>
              <w:jc w:val="center"/>
              <w:textAlignment w:val="center"/>
              <w:rPr>
                <w:rFonts w:hint="default" w:ascii="仿宋" w:hAnsi="仿宋" w:eastAsia="仿宋" w:cs="仿宋"/>
                <w:b w:val="0"/>
                <w:bCs w:val="0"/>
                <w:sz w:val="24"/>
                <w:szCs w:val="24"/>
                <w:lang w:val="en-US" w:eastAsia="zh-CN"/>
              </w:rPr>
            </w:pPr>
            <w:r>
              <w:rPr>
                <w:rFonts w:hint="eastAsia" w:ascii="仿宋" w:hAnsi="仿宋" w:eastAsia="仿宋" w:cs="仿宋"/>
                <w:b w:val="0"/>
                <w:bCs w:val="0"/>
                <w:i w:val="0"/>
                <w:iCs w:val="0"/>
                <w:color w:val="000000"/>
                <w:kern w:val="2"/>
                <w:sz w:val="24"/>
                <w:szCs w:val="24"/>
                <w:u w:val="none"/>
                <w:lang w:val="en-US" w:eastAsia="zh-CN" w:bidi="ar-SA"/>
              </w:rPr>
              <w:t>/</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10F94BF3">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rPr>
            </w:pPr>
            <w:r>
              <w:rPr>
                <w:rFonts w:hint="eastAsia" w:ascii="仿宋" w:hAnsi="仿宋" w:eastAsia="仿宋" w:cs="仿宋"/>
                <w:b w:val="0"/>
                <w:bCs w:val="0"/>
                <w:i w:val="0"/>
                <w:iCs w:val="0"/>
                <w:color w:val="000000"/>
                <w:kern w:val="2"/>
                <w:sz w:val="24"/>
                <w:szCs w:val="24"/>
                <w:u w:val="none"/>
                <w:lang w:val="en-US" w:eastAsia="zh-CN" w:bidi="ar-SA"/>
              </w:rPr>
              <w:t>/</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27EB4EE9">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i w:val="0"/>
                <w:iCs w:val="0"/>
                <w:color w:val="000000"/>
                <w:kern w:val="2"/>
                <w:sz w:val="24"/>
                <w:szCs w:val="24"/>
                <w:u w:val="none"/>
                <w:lang w:val="en-US" w:eastAsia="zh-CN" w:bidi="ar-SA"/>
              </w:rPr>
              <w:t>/</w:t>
            </w:r>
          </w:p>
        </w:tc>
      </w:tr>
      <w:tr w14:paraId="4CAD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720" w:type="dxa"/>
            <w:gridSpan w:val="4"/>
            <w:tcBorders>
              <w:top w:val="single" w:color="auto" w:sz="4" w:space="0"/>
              <w:left w:val="single" w:color="auto" w:sz="4" w:space="0"/>
              <w:bottom w:val="single" w:color="auto" w:sz="4" w:space="0"/>
              <w:right w:val="single" w:color="auto" w:sz="4" w:space="0"/>
            </w:tcBorders>
            <w:noWrap w:val="0"/>
            <w:vAlign w:val="center"/>
          </w:tcPr>
          <w:p w14:paraId="166AAF7C">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en-US" w:eastAsia="zh-CN" w:bidi="ar-SA"/>
              </w:rPr>
              <w:t>合计</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254E3620">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en-US" w:eastAsia="zh-CN" w:bidi="ar-SA"/>
              </w:rPr>
              <w:t>/</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DE7E193">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en-US" w:eastAsia="zh-CN" w:bidi="ar-SA"/>
              </w:rPr>
              <w:t>/</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171C7BA8">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en-US" w:eastAsia="zh-CN" w:bidi="ar-SA"/>
              </w:rPr>
              <w:t>/</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661F030E">
            <w:pPr>
              <w:jc w:val="center"/>
              <w:rPr>
                <w:rFonts w:hint="eastAsia" w:ascii="仿宋" w:hAnsi="仿宋" w:eastAsia="仿宋" w:cs="仿宋"/>
                <w:b w:val="0"/>
                <w:bCs w:val="0"/>
                <w:sz w:val="24"/>
                <w:szCs w:val="24"/>
              </w:rPr>
            </w:pPr>
            <w:r>
              <w:rPr>
                <w:rFonts w:hint="eastAsia" w:ascii="仿宋" w:hAnsi="仿宋" w:eastAsia="仿宋" w:cs="仿宋"/>
                <w:b w:val="0"/>
                <w:bCs w:val="0"/>
                <w:kern w:val="2"/>
                <w:sz w:val="24"/>
                <w:szCs w:val="24"/>
              </w:rPr>
              <w:t>/</w:t>
            </w:r>
          </w:p>
        </w:tc>
      </w:tr>
    </w:tbl>
    <w:p w14:paraId="67F77475">
      <w:pPr>
        <w:spacing w:after="120" w:afterLines="50" w:line="320" w:lineRule="exact"/>
        <w:ind w:firstLine="560" w:firstLineChars="200"/>
        <w:rPr>
          <w:rFonts w:hint="eastAsia" w:ascii="黑体" w:hAnsi="黑体" w:eastAsia="黑体"/>
          <w:bCs/>
          <w:sz w:val="28"/>
          <w:szCs w:val="28"/>
        </w:rPr>
      </w:pPr>
      <w:r>
        <w:rPr>
          <w:rFonts w:hint="eastAsia" w:ascii="仿宋_GB2312" w:hAnsi="宋体" w:eastAsia="仿宋_GB2312"/>
          <w:sz w:val="28"/>
          <w:szCs w:val="28"/>
        </w:rPr>
        <w:t>注：以上价格均为含税价。</w:t>
      </w:r>
    </w:p>
    <w:p w14:paraId="5D5E5136">
      <w:pPr>
        <w:spacing w:after="120" w:afterLines="50" w:line="400" w:lineRule="exact"/>
        <w:ind w:firstLine="560" w:firstLineChars="200"/>
        <w:rPr>
          <w:rFonts w:ascii="黑体" w:hAnsi="黑体" w:eastAsia="黑体"/>
          <w:bCs/>
          <w:sz w:val="28"/>
          <w:szCs w:val="28"/>
        </w:rPr>
      </w:pPr>
      <w:r>
        <w:rPr>
          <w:rFonts w:hint="eastAsia" w:ascii="黑体" w:hAnsi="黑体" w:eastAsia="黑体"/>
          <w:bCs/>
          <w:sz w:val="28"/>
          <w:szCs w:val="28"/>
        </w:rPr>
        <w:t>第四条  定金、结算和付款</w:t>
      </w:r>
    </w:p>
    <w:p w14:paraId="3AAAF63E">
      <w:pPr>
        <w:spacing w:line="400" w:lineRule="exact"/>
        <w:ind w:firstLine="560" w:firstLineChars="200"/>
        <w:rPr>
          <w:rFonts w:ascii="楷体" w:hAnsi="楷体" w:eastAsia="楷体" w:cs="楷体"/>
          <w:bCs/>
          <w:sz w:val="28"/>
          <w:szCs w:val="28"/>
        </w:rPr>
      </w:pPr>
      <w:r>
        <w:rPr>
          <w:rFonts w:hint="eastAsia" w:ascii="楷体" w:hAnsi="楷体" w:eastAsia="楷体" w:cs="楷体"/>
          <w:bCs/>
          <w:sz w:val="28"/>
          <w:szCs w:val="28"/>
        </w:rPr>
        <w:t>（</w:t>
      </w:r>
      <w:r>
        <w:rPr>
          <w:rFonts w:hint="eastAsia" w:ascii="楷体" w:hAnsi="楷体" w:eastAsia="楷体" w:cs="楷体"/>
          <w:bCs/>
          <w:sz w:val="28"/>
          <w:szCs w:val="28"/>
          <w:lang w:val="en-US" w:eastAsia="zh-CN"/>
        </w:rPr>
        <w:t>一</w:t>
      </w:r>
      <w:r>
        <w:rPr>
          <w:rFonts w:hint="eastAsia" w:ascii="楷体" w:hAnsi="楷体" w:eastAsia="楷体" w:cs="楷体"/>
          <w:bCs/>
          <w:sz w:val="28"/>
          <w:szCs w:val="28"/>
        </w:rPr>
        <w:t>）结算</w:t>
      </w:r>
    </w:p>
    <w:p w14:paraId="0FA33343">
      <w:pPr>
        <w:spacing w:line="400" w:lineRule="exact"/>
        <w:ind w:firstLine="560" w:firstLineChars="200"/>
        <w:rPr>
          <w:rFonts w:ascii="仿宋" w:hAnsi="仿宋" w:eastAsia="仿宋" w:cs="仿宋"/>
          <w:bCs/>
          <w:sz w:val="28"/>
          <w:szCs w:val="28"/>
        </w:rPr>
      </w:pPr>
      <w:r>
        <w:rPr>
          <w:rFonts w:hint="eastAsia" w:ascii="仿宋" w:hAnsi="仿宋" w:eastAsia="仿宋" w:cs="仿宋"/>
          <w:bCs/>
          <w:sz w:val="28"/>
          <w:szCs w:val="28"/>
        </w:rPr>
        <w:t>1.结算方式</w:t>
      </w:r>
    </w:p>
    <w:p w14:paraId="6F81E2E5">
      <w:pPr>
        <w:spacing w:line="400" w:lineRule="exact"/>
        <w:ind w:firstLine="480" w:firstLineChars="200"/>
        <w:rPr>
          <w:rFonts w:ascii="仿宋" w:hAnsi="仿宋" w:eastAsia="仿宋" w:cs="仿宋"/>
          <w:bCs/>
          <w:sz w:val="24"/>
          <w:szCs w:val="24"/>
        </w:rPr>
      </w:pPr>
      <w:r>
        <w:rPr>
          <w:rFonts w:ascii="仿宋" w:hAnsi="仿宋" w:eastAsia="仿宋"/>
          <w:bCs/>
          <w:sz w:val="24"/>
          <w:szCs w:val="24"/>
        </w:rPr>
        <w:t>结算方式</w:t>
      </w:r>
      <w:r>
        <w:rPr>
          <w:rFonts w:hint="eastAsia" w:ascii="仿宋" w:hAnsi="仿宋" w:eastAsia="仿宋"/>
          <w:bCs/>
          <w:sz w:val="24"/>
          <w:szCs w:val="24"/>
        </w:rPr>
        <w:t>按次结算，即按危废转移的次数进行结算。</w:t>
      </w:r>
    </w:p>
    <w:p w14:paraId="5ABEBC7B">
      <w:pPr>
        <w:spacing w:line="400" w:lineRule="exact"/>
        <w:ind w:firstLine="560" w:firstLineChars="200"/>
        <w:rPr>
          <w:rFonts w:ascii="仿宋" w:hAnsi="仿宋" w:eastAsia="仿宋"/>
          <w:bCs/>
          <w:sz w:val="28"/>
          <w:szCs w:val="28"/>
        </w:rPr>
      </w:pPr>
      <w:r>
        <w:rPr>
          <w:rFonts w:hint="eastAsia" w:ascii="仿宋" w:hAnsi="仿宋" w:eastAsia="仿宋"/>
          <w:bCs/>
          <w:sz w:val="28"/>
          <w:szCs w:val="28"/>
        </w:rPr>
        <w:t>2.结算金额</w:t>
      </w:r>
    </w:p>
    <w:p w14:paraId="5D72E5BB">
      <w:pPr>
        <w:spacing w:line="400" w:lineRule="exact"/>
        <w:ind w:firstLine="480" w:firstLineChars="200"/>
        <w:rPr>
          <w:rFonts w:ascii="仿宋" w:hAnsi="仿宋" w:eastAsia="仿宋"/>
          <w:bCs/>
          <w:sz w:val="24"/>
          <w:szCs w:val="24"/>
        </w:rPr>
      </w:pPr>
      <w:r>
        <w:rPr>
          <w:rFonts w:hint="eastAsia" w:ascii="仿宋" w:hAnsi="仿宋" w:eastAsia="仿宋"/>
          <w:bCs/>
          <w:sz w:val="24"/>
          <w:szCs w:val="24"/>
        </w:rPr>
        <w:t xml:space="preserve">处置费按实际转移处置重量（含包装重量）与表3-1、3-2对应单价计算；其他费用按本合同第三条相应价格结算。 </w:t>
      </w:r>
    </w:p>
    <w:p w14:paraId="51722D6D">
      <w:pPr>
        <w:spacing w:line="400" w:lineRule="exact"/>
        <w:ind w:firstLine="560" w:firstLineChars="200"/>
        <w:rPr>
          <w:rFonts w:ascii="仿宋" w:hAnsi="仿宋" w:eastAsia="仿宋"/>
          <w:bCs/>
          <w:sz w:val="28"/>
          <w:szCs w:val="28"/>
        </w:rPr>
      </w:pPr>
      <w:r>
        <w:rPr>
          <w:rFonts w:hint="eastAsia" w:ascii="仿宋" w:hAnsi="仿宋" w:eastAsia="仿宋"/>
          <w:bCs/>
          <w:sz w:val="28"/>
          <w:szCs w:val="28"/>
        </w:rPr>
        <w:t>3.危废计重</w:t>
      </w:r>
    </w:p>
    <w:p w14:paraId="331DD1F0">
      <w:pPr>
        <w:spacing w:line="400" w:lineRule="exact"/>
        <w:ind w:firstLine="480" w:firstLineChars="200"/>
        <w:rPr>
          <w:rFonts w:ascii="仿宋" w:hAnsi="仿宋" w:eastAsia="仿宋"/>
          <w:bCs/>
          <w:sz w:val="24"/>
          <w:szCs w:val="24"/>
        </w:rPr>
      </w:pPr>
      <w:r>
        <w:rPr>
          <w:rFonts w:hint="eastAsia" w:ascii="仿宋" w:hAnsi="仿宋" w:eastAsia="仿宋"/>
          <w:bCs/>
          <w:sz w:val="24"/>
          <w:szCs w:val="24"/>
        </w:rPr>
        <w:t>危废实际转移处置重量（含包装重量）按以下</w:t>
      </w:r>
      <w:r>
        <w:rPr>
          <w:rFonts w:hint="eastAsia" w:ascii="仿宋" w:hAnsi="仿宋" w:eastAsia="仿宋"/>
          <w:bCs/>
          <w:color w:val="auto"/>
          <w:sz w:val="24"/>
          <w:szCs w:val="24"/>
        </w:rPr>
        <w:t>第</w:t>
      </w:r>
      <w:r>
        <w:rPr>
          <w:rFonts w:hint="eastAsia" w:ascii="仿宋" w:hAnsi="仿宋" w:eastAsia="仿宋"/>
          <w:b/>
          <w:color w:val="auto"/>
          <w:sz w:val="24"/>
          <w:szCs w:val="24"/>
          <w:u w:val="single"/>
        </w:rPr>
        <w:t xml:space="preserve"> </w:t>
      </w:r>
      <w:r>
        <w:rPr>
          <w:rFonts w:hint="eastAsia" w:ascii="仿宋" w:hAnsi="仿宋" w:eastAsia="仿宋"/>
          <w:bCs/>
          <w:color w:val="auto"/>
          <w:sz w:val="24"/>
          <w:szCs w:val="24"/>
          <w:u w:val="single"/>
        </w:rPr>
        <w:t xml:space="preserve">  </w:t>
      </w:r>
      <w:r>
        <w:rPr>
          <w:rFonts w:hint="eastAsia" w:ascii="仿宋" w:hAnsi="仿宋" w:eastAsia="仿宋"/>
          <w:bCs/>
          <w:color w:val="auto"/>
          <w:sz w:val="24"/>
          <w:szCs w:val="24"/>
          <w:u w:val="single"/>
          <w:lang w:val="en-US" w:eastAsia="zh-CN"/>
        </w:rPr>
        <w:t>（2）</w:t>
      </w:r>
      <w:r>
        <w:rPr>
          <w:rFonts w:hint="eastAsia" w:ascii="仿宋" w:hAnsi="仿宋" w:eastAsia="仿宋"/>
          <w:bCs/>
          <w:color w:val="auto"/>
          <w:sz w:val="24"/>
          <w:szCs w:val="24"/>
          <w:u w:val="single"/>
        </w:rPr>
        <w:t xml:space="preserve">  </w:t>
      </w:r>
      <w:r>
        <w:rPr>
          <w:rFonts w:hint="eastAsia" w:ascii="仿宋" w:hAnsi="仿宋" w:eastAsia="仿宋"/>
          <w:b/>
          <w:color w:val="auto"/>
          <w:sz w:val="24"/>
          <w:szCs w:val="24"/>
          <w:u w:val="single"/>
        </w:rPr>
        <w:t xml:space="preserve"> </w:t>
      </w:r>
      <w:r>
        <w:rPr>
          <w:rFonts w:hint="eastAsia" w:ascii="仿宋" w:hAnsi="仿宋" w:eastAsia="仿宋"/>
          <w:bCs/>
          <w:color w:val="auto"/>
          <w:sz w:val="24"/>
          <w:szCs w:val="24"/>
        </w:rPr>
        <w:t>种</w:t>
      </w:r>
      <w:r>
        <w:rPr>
          <w:rFonts w:hint="eastAsia" w:ascii="仿宋" w:hAnsi="仿宋" w:eastAsia="仿宋"/>
          <w:bCs/>
          <w:sz w:val="24"/>
          <w:szCs w:val="24"/>
        </w:rPr>
        <w:t>方式计重：</w:t>
      </w:r>
    </w:p>
    <w:p w14:paraId="5508C191">
      <w:pPr>
        <w:spacing w:line="400" w:lineRule="exact"/>
        <w:ind w:firstLine="480" w:firstLineChars="200"/>
        <w:rPr>
          <w:rFonts w:ascii="仿宋" w:hAnsi="仿宋" w:eastAsia="仿宋"/>
          <w:bCs/>
          <w:sz w:val="24"/>
          <w:szCs w:val="24"/>
        </w:rPr>
      </w:pPr>
      <w:r>
        <w:rPr>
          <w:rFonts w:hint="eastAsia" w:ascii="仿宋" w:hAnsi="仿宋" w:eastAsia="仿宋"/>
          <w:bCs/>
          <w:sz w:val="24"/>
          <w:szCs w:val="24"/>
        </w:rPr>
        <w:t>（1）有资质第三方称重    （2）甲乙双方现场称重   （3）乙方标定计重</w:t>
      </w:r>
    </w:p>
    <w:p w14:paraId="2D0D7594">
      <w:pPr>
        <w:spacing w:line="400" w:lineRule="exact"/>
        <w:ind w:firstLine="480" w:firstLineChars="200"/>
        <w:rPr>
          <w:rFonts w:ascii="仿宋" w:hAnsi="仿宋" w:eastAsia="仿宋"/>
          <w:bCs/>
          <w:color w:val="auto"/>
          <w:sz w:val="21"/>
          <w:szCs w:val="21"/>
        </w:rPr>
      </w:pPr>
      <w:r>
        <w:rPr>
          <w:rFonts w:hint="eastAsia" w:ascii="仿宋" w:hAnsi="仿宋" w:eastAsia="仿宋"/>
          <w:sz w:val="24"/>
          <w:szCs w:val="24"/>
        </w:rPr>
        <w:t xml:space="preserve">（4）甲方标定计重 </w:t>
      </w:r>
      <w:r>
        <w:rPr>
          <w:rFonts w:hint="eastAsia" w:ascii="仿宋" w:hAnsi="仿宋" w:eastAsia="仿宋"/>
          <w:bCs/>
          <w:sz w:val="24"/>
          <w:szCs w:val="24"/>
        </w:rPr>
        <w:t xml:space="preserve">      （5）</w:t>
      </w:r>
      <w:r>
        <w:rPr>
          <w:rFonts w:hint="eastAsia" w:ascii="仿宋" w:hAnsi="仿宋" w:eastAsia="仿宋"/>
          <w:bCs/>
          <w:color w:val="auto"/>
          <w:sz w:val="24"/>
          <w:szCs w:val="24"/>
        </w:rPr>
        <w:t xml:space="preserve">甲方出厂称重，乙方进厂复核，偏差过大以乙方过磅为准。  </w:t>
      </w:r>
      <w:r>
        <w:rPr>
          <w:rFonts w:hint="eastAsia" w:ascii="仿宋" w:hAnsi="仿宋" w:eastAsia="仿宋"/>
          <w:bCs/>
          <w:color w:val="auto"/>
          <w:sz w:val="21"/>
          <w:szCs w:val="21"/>
        </w:rPr>
        <w:t xml:space="preserve">      </w:t>
      </w:r>
    </w:p>
    <w:p w14:paraId="7ACBAD96">
      <w:pPr>
        <w:spacing w:line="400" w:lineRule="exact"/>
        <w:ind w:firstLine="560" w:firstLineChars="200"/>
        <w:rPr>
          <w:rFonts w:ascii="楷体" w:hAnsi="楷体" w:eastAsia="楷体" w:cs="楷体"/>
          <w:bCs/>
          <w:sz w:val="28"/>
          <w:szCs w:val="28"/>
        </w:rPr>
      </w:pPr>
      <w:r>
        <w:rPr>
          <w:rFonts w:hint="eastAsia" w:ascii="楷体" w:hAnsi="楷体" w:eastAsia="楷体" w:cs="楷体"/>
          <w:bCs/>
          <w:sz w:val="28"/>
          <w:szCs w:val="28"/>
        </w:rPr>
        <w:t>（</w:t>
      </w:r>
      <w:r>
        <w:rPr>
          <w:rFonts w:hint="eastAsia" w:ascii="楷体" w:hAnsi="楷体" w:eastAsia="楷体" w:cs="楷体"/>
          <w:bCs/>
          <w:sz w:val="28"/>
          <w:szCs w:val="28"/>
          <w:lang w:val="en-US" w:eastAsia="zh-CN"/>
        </w:rPr>
        <w:t>二</w:t>
      </w:r>
      <w:r>
        <w:rPr>
          <w:rFonts w:hint="eastAsia" w:ascii="楷体" w:hAnsi="楷体" w:eastAsia="楷体" w:cs="楷体"/>
          <w:bCs/>
          <w:sz w:val="28"/>
          <w:szCs w:val="28"/>
        </w:rPr>
        <w:t>）付款</w:t>
      </w:r>
    </w:p>
    <w:p w14:paraId="7128AAD8">
      <w:pPr>
        <w:spacing w:line="400" w:lineRule="exact"/>
        <w:ind w:firstLine="560" w:firstLineChars="200"/>
        <w:rPr>
          <w:rFonts w:ascii="仿宋" w:hAnsi="仿宋" w:eastAsia="仿宋" w:cs="仿宋"/>
          <w:bCs/>
          <w:sz w:val="28"/>
          <w:szCs w:val="28"/>
        </w:rPr>
      </w:pPr>
      <w:r>
        <w:rPr>
          <w:rFonts w:hint="eastAsia" w:ascii="仿宋" w:hAnsi="仿宋" w:eastAsia="仿宋" w:cs="仿宋"/>
          <w:bCs/>
          <w:sz w:val="28"/>
          <w:szCs w:val="28"/>
        </w:rPr>
        <w:t>1.预付款</w:t>
      </w:r>
    </w:p>
    <w:p w14:paraId="78BF0C85">
      <w:pPr>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本合同成立后，甲方向乙方预付服务费</w:t>
      </w:r>
      <w:r>
        <w:rPr>
          <w:rFonts w:hint="eastAsia" w:ascii="仿宋" w:hAnsi="仿宋" w:eastAsia="仿宋" w:cs="仿宋"/>
          <w:bCs/>
          <w:sz w:val="24"/>
          <w:szCs w:val="24"/>
          <w:u w:val="single"/>
          <w:lang w:val="en-US" w:eastAsia="zh-CN"/>
        </w:rPr>
        <w:t>/</w:t>
      </w:r>
      <w:r>
        <w:rPr>
          <w:rFonts w:hint="eastAsia" w:ascii="仿宋" w:hAnsi="仿宋" w:eastAsia="仿宋" w:cs="仿宋"/>
          <w:sz w:val="24"/>
          <w:szCs w:val="24"/>
        </w:rPr>
        <w:t>元</w:t>
      </w:r>
      <w:r>
        <w:rPr>
          <w:rFonts w:hint="eastAsia" w:ascii="仿宋" w:hAnsi="仿宋" w:eastAsia="仿宋" w:cs="仿宋"/>
          <w:bCs/>
          <w:sz w:val="24"/>
          <w:szCs w:val="24"/>
        </w:rPr>
        <w:t>(大写：人民币</w:t>
      </w:r>
      <w:r>
        <w:rPr>
          <w:rFonts w:hint="eastAsia" w:ascii="仿宋" w:hAnsi="仿宋" w:eastAsia="仿宋" w:cs="仿宋"/>
          <w:bCs/>
          <w:sz w:val="24"/>
          <w:szCs w:val="24"/>
          <w:u w:val="single"/>
          <w:lang w:val="en-US" w:eastAsia="zh-CN"/>
        </w:rPr>
        <w:t>/</w:t>
      </w:r>
      <w:r>
        <w:rPr>
          <w:rFonts w:hint="eastAsia" w:ascii="仿宋" w:hAnsi="仿宋" w:eastAsia="仿宋" w:cs="仿宋"/>
          <w:bCs/>
          <w:sz w:val="24"/>
          <w:szCs w:val="24"/>
          <w:lang w:val="en-US" w:eastAsia="zh-CN"/>
        </w:rPr>
        <w:t>元整</w:t>
      </w:r>
      <w:r>
        <w:rPr>
          <w:rFonts w:hint="eastAsia" w:ascii="仿宋" w:hAnsi="仿宋" w:eastAsia="仿宋" w:cs="仿宋"/>
          <w:sz w:val="24"/>
          <w:szCs w:val="24"/>
        </w:rPr>
        <w:t>）。</w:t>
      </w:r>
      <w:r>
        <w:rPr>
          <w:rFonts w:hint="eastAsia" w:ascii="仿宋" w:hAnsi="仿宋" w:eastAsia="仿宋" w:cs="仿宋"/>
          <w:bCs/>
          <w:sz w:val="24"/>
          <w:szCs w:val="24"/>
        </w:rPr>
        <w:t>合同有效期限内，甲方委托乙方处置危废的，预付款用于冲抵本协议期内实际发生的处置费用；合同到期后，因非乙方原因导致预付款尚有结余的，预付款不退还，归乙方所有。</w:t>
      </w:r>
    </w:p>
    <w:p w14:paraId="2DEDDBFD">
      <w:pPr>
        <w:pStyle w:val="25"/>
        <w:snapToGrid w:val="0"/>
        <w:spacing w:line="400" w:lineRule="exact"/>
        <w:ind w:firstLine="560"/>
        <w:rPr>
          <w:rFonts w:ascii="仿宋" w:hAnsi="仿宋" w:eastAsia="仿宋" w:cs="仿宋"/>
          <w:bCs/>
          <w:sz w:val="28"/>
          <w:szCs w:val="28"/>
        </w:rPr>
      </w:pPr>
      <w:r>
        <w:rPr>
          <w:rFonts w:hint="eastAsia" w:ascii="仿宋" w:hAnsi="仿宋" w:eastAsia="仿宋" w:cs="仿宋"/>
          <w:bCs/>
          <w:sz w:val="28"/>
          <w:szCs w:val="28"/>
        </w:rPr>
        <w:t>2.发票开具（根据实际情况勾选“</w:t>
      </w:r>
      <w:r>
        <w:rPr>
          <w:rFonts w:hint="eastAsia" w:ascii="仿宋" w:hAnsi="仿宋" w:eastAsia="仿宋"/>
          <w:bCs/>
          <w:sz w:val="24"/>
          <w:szCs w:val="24"/>
        </w:rPr>
        <w:sym w:font="Wingdings" w:char="00FE"/>
      </w:r>
      <w:r>
        <w:rPr>
          <w:rFonts w:hint="eastAsia" w:ascii="仿宋" w:hAnsi="仿宋" w:eastAsia="仿宋" w:cs="仿宋"/>
          <w:bCs/>
          <w:sz w:val="28"/>
          <w:szCs w:val="28"/>
        </w:rPr>
        <w:t>”）</w:t>
      </w:r>
    </w:p>
    <w:p w14:paraId="0B6364FA">
      <w:pPr>
        <w:pStyle w:val="25"/>
        <w:snapToGrid w:val="0"/>
        <w:spacing w:line="400" w:lineRule="exact"/>
        <w:ind w:left="984" w:leftChars="240" w:hanging="480" w:hangingChars="200"/>
        <w:rPr>
          <w:rFonts w:ascii="仿宋" w:hAnsi="仿宋" w:eastAsia="仿宋" w:cs="仿宋"/>
          <w:bCs/>
          <w:sz w:val="24"/>
          <w:szCs w:val="24"/>
        </w:rPr>
      </w:pPr>
      <w:r>
        <w:rPr>
          <w:rFonts w:hint="eastAsia" w:ascii="仿宋" w:hAnsi="仿宋" w:eastAsia="仿宋"/>
          <w:kern w:val="1"/>
          <w:sz w:val="24"/>
          <w:szCs w:val="24"/>
        </w:rPr>
        <w:t>□</w:t>
      </w:r>
      <w:r>
        <w:rPr>
          <w:rFonts w:hint="eastAsia" w:ascii="仿宋" w:hAnsi="仿宋" w:eastAsia="仿宋" w:cs="仿宋"/>
          <w:bCs/>
          <w:sz w:val="24"/>
          <w:szCs w:val="24"/>
        </w:rPr>
        <w:t>分项价格方式:运输费、劳务费、处置费分别开具相应的增值税（</w:t>
      </w:r>
      <w:r>
        <w:rPr>
          <w:rFonts w:hint="eastAsia" w:ascii="仿宋" w:hAnsi="仿宋" w:eastAsia="仿宋"/>
          <w:kern w:val="1"/>
          <w:sz w:val="24"/>
          <w:szCs w:val="24"/>
        </w:rPr>
        <w:t>□</w:t>
      </w:r>
      <w:r>
        <w:rPr>
          <w:rFonts w:hint="eastAsia" w:ascii="仿宋" w:hAnsi="仿宋" w:eastAsia="仿宋" w:cs="仿宋"/>
          <w:bCs/>
          <w:sz w:val="24"/>
          <w:szCs w:val="24"/>
        </w:rPr>
        <w:t>专用、</w:t>
      </w:r>
      <w:r>
        <w:rPr>
          <w:rFonts w:hint="eastAsia" w:ascii="仿宋" w:hAnsi="仿宋" w:eastAsia="仿宋"/>
          <w:kern w:val="1"/>
          <w:sz w:val="24"/>
          <w:szCs w:val="24"/>
        </w:rPr>
        <w:t>□</w:t>
      </w:r>
      <w:r>
        <w:rPr>
          <w:rFonts w:hint="eastAsia" w:ascii="仿宋" w:hAnsi="仿宋" w:eastAsia="仿宋" w:cs="仿宋"/>
          <w:sz w:val="24"/>
          <w:szCs w:val="24"/>
        </w:rPr>
        <w:t>普通</w:t>
      </w:r>
      <w:r>
        <w:rPr>
          <w:rFonts w:hint="eastAsia" w:ascii="仿宋" w:hAnsi="仿宋" w:eastAsia="仿宋" w:cs="仿宋"/>
          <w:bCs/>
          <w:sz w:val="24"/>
          <w:szCs w:val="24"/>
        </w:rPr>
        <w:t>）发票。</w:t>
      </w:r>
    </w:p>
    <w:p w14:paraId="0C1AD4E2">
      <w:pPr>
        <w:pStyle w:val="25"/>
        <w:snapToGrid w:val="0"/>
        <w:spacing w:line="400" w:lineRule="exact"/>
        <w:ind w:firstLine="480"/>
        <w:rPr>
          <w:rFonts w:ascii="仿宋" w:hAnsi="仿宋" w:eastAsia="仿宋" w:cs="仿宋"/>
          <w:bCs/>
          <w:sz w:val="24"/>
          <w:szCs w:val="24"/>
        </w:rPr>
      </w:pPr>
      <w:r>
        <w:rPr>
          <w:rFonts w:hint="eastAsia" w:ascii="仿宋" w:hAnsi="仿宋" w:eastAsia="仿宋"/>
          <w:bCs/>
          <w:sz w:val="24"/>
          <w:szCs w:val="24"/>
        </w:rPr>
        <w:sym w:font="Wingdings" w:char="00FE"/>
      </w:r>
      <w:r>
        <w:rPr>
          <w:rFonts w:hint="eastAsia" w:ascii="仿宋" w:hAnsi="仿宋" w:eastAsia="仿宋" w:cs="仿宋"/>
          <w:bCs/>
          <w:sz w:val="24"/>
          <w:szCs w:val="24"/>
        </w:rPr>
        <w:t xml:space="preserve">综合价格方式：处置费开具 </w:t>
      </w:r>
      <w:r>
        <w:rPr>
          <w:rFonts w:ascii="仿宋" w:hAnsi="仿宋" w:eastAsia="仿宋" w:cs="仿宋"/>
          <w:bCs/>
          <w:sz w:val="24"/>
          <w:szCs w:val="24"/>
        </w:rPr>
        <w:t>6</w:t>
      </w:r>
      <w:r>
        <w:rPr>
          <w:rFonts w:hint="eastAsia" w:ascii="仿宋" w:hAnsi="仿宋" w:eastAsia="仿宋" w:cs="仿宋"/>
          <w:bCs/>
          <w:sz w:val="24"/>
          <w:szCs w:val="24"/>
        </w:rPr>
        <w:t>% 增值税（</w:t>
      </w:r>
      <w:r>
        <w:rPr>
          <w:rFonts w:hint="eastAsia" w:ascii="仿宋" w:hAnsi="仿宋" w:eastAsia="仿宋"/>
          <w:bCs/>
          <w:sz w:val="24"/>
          <w:szCs w:val="24"/>
        </w:rPr>
        <w:sym w:font="Wingdings" w:char="00FE"/>
      </w:r>
      <w:r>
        <w:rPr>
          <w:rFonts w:hint="eastAsia" w:ascii="仿宋" w:hAnsi="仿宋" w:eastAsia="仿宋" w:cs="仿宋"/>
          <w:bCs/>
          <w:sz w:val="24"/>
          <w:szCs w:val="24"/>
        </w:rPr>
        <w:t>专用、</w:t>
      </w:r>
      <w:r>
        <w:rPr>
          <w:rFonts w:hint="eastAsia" w:ascii="仿宋" w:hAnsi="仿宋" w:eastAsia="仿宋"/>
          <w:kern w:val="1"/>
          <w:sz w:val="24"/>
          <w:szCs w:val="24"/>
        </w:rPr>
        <w:t>□</w:t>
      </w:r>
      <w:r>
        <w:rPr>
          <w:rFonts w:hint="eastAsia" w:ascii="仿宋" w:hAnsi="仿宋" w:eastAsia="仿宋" w:cs="仿宋"/>
          <w:sz w:val="24"/>
          <w:szCs w:val="24"/>
        </w:rPr>
        <w:t>普通</w:t>
      </w:r>
      <w:r>
        <w:rPr>
          <w:rFonts w:hint="eastAsia" w:ascii="仿宋" w:hAnsi="仿宋" w:eastAsia="仿宋" w:cs="仿宋"/>
          <w:bCs/>
          <w:sz w:val="24"/>
          <w:szCs w:val="24"/>
        </w:rPr>
        <w:t>）发票。</w:t>
      </w:r>
    </w:p>
    <w:p w14:paraId="1F234DF6">
      <w:pPr>
        <w:pStyle w:val="25"/>
        <w:snapToGrid w:val="0"/>
        <w:spacing w:line="400" w:lineRule="exact"/>
        <w:ind w:firstLine="480"/>
        <w:rPr>
          <w:rFonts w:ascii="仿宋" w:hAnsi="仿宋" w:eastAsia="仿宋" w:cs="仿宋"/>
          <w:bCs/>
          <w:sz w:val="24"/>
          <w:szCs w:val="24"/>
          <w:u w:val="single"/>
        </w:rPr>
      </w:pPr>
      <w:r>
        <w:rPr>
          <w:rFonts w:hint="eastAsia" w:ascii="仿宋" w:hAnsi="仿宋" w:eastAsia="仿宋" w:cs="仿宋"/>
          <w:sz w:val="24"/>
          <w:szCs w:val="24"/>
        </w:rPr>
        <w:t>□其他方式：</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p>
    <w:p w14:paraId="023F06E4">
      <w:pPr>
        <w:spacing w:line="400" w:lineRule="exact"/>
        <w:ind w:firstLine="560" w:firstLineChars="200"/>
        <w:rPr>
          <w:rFonts w:ascii="仿宋" w:hAnsi="仿宋" w:eastAsia="仿宋" w:cs="仿宋"/>
          <w:bCs/>
          <w:sz w:val="28"/>
          <w:szCs w:val="28"/>
        </w:rPr>
      </w:pPr>
      <w:r>
        <w:rPr>
          <w:rFonts w:hint="eastAsia" w:ascii="仿宋" w:hAnsi="仿宋" w:eastAsia="仿宋" w:cs="仿宋"/>
          <w:bCs/>
          <w:sz w:val="28"/>
          <w:szCs w:val="28"/>
        </w:rPr>
        <w:t>3.付款方式</w:t>
      </w:r>
    </w:p>
    <w:p w14:paraId="7282F622">
      <w:pPr>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乙方开具相应增值税发票，甲方收到发票后</w:t>
      </w:r>
      <w:r>
        <w:rPr>
          <w:rFonts w:hint="eastAsia" w:ascii="仿宋" w:hAnsi="仿宋" w:eastAsia="仿宋" w:cs="仿宋"/>
          <w:b/>
          <w:bCs/>
          <w:sz w:val="24"/>
          <w:szCs w:val="24"/>
          <w:u w:val="single"/>
          <w:lang w:val="en-US" w:eastAsia="zh-CN"/>
        </w:rPr>
        <w:t xml:space="preserve">     </w:t>
      </w:r>
      <w:r>
        <w:rPr>
          <w:rFonts w:hint="eastAsia" w:ascii="仿宋" w:hAnsi="仿宋" w:eastAsia="仿宋" w:cs="仿宋"/>
          <w:bCs/>
          <w:sz w:val="24"/>
          <w:szCs w:val="24"/>
        </w:rPr>
        <w:t>个工作日内以银行转账方式支付给乙方。</w:t>
      </w:r>
    </w:p>
    <w:p w14:paraId="48326685">
      <w:pPr>
        <w:pStyle w:val="25"/>
        <w:snapToGrid w:val="0"/>
        <w:spacing w:line="400" w:lineRule="exact"/>
        <w:ind w:firstLine="560"/>
        <w:rPr>
          <w:rFonts w:ascii="仿宋" w:hAnsi="仿宋" w:eastAsia="仿宋"/>
          <w:bCs/>
          <w:sz w:val="28"/>
          <w:szCs w:val="28"/>
        </w:rPr>
      </w:pPr>
      <w:r>
        <w:rPr>
          <w:rFonts w:hint="eastAsia" w:ascii="仿宋" w:hAnsi="仿宋" w:eastAsia="仿宋" w:cs="仿宋"/>
          <w:bCs/>
          <w:sz w:val="28"/>
          <w:szCs w:val="28"/>
        </w:rPr>
        <w:t>4.双方</w:t>
      </w:r>
      <w:r>
        <w:rPr>
          <w:rFonts w:hint="eastAsia" w:ascii="仿宋" w:hAnsi="仿宋" w:eastAsia="仿宋"/>
          <w:bCs/>
          <w:sz w:val="28"/>
          <w:szCs w:val="28"/>
        </w:rPr>
        <w:t>账户信息</w:t>
      </w:r>
    </w:p>
    <w:p w14:paraId="04FB1911">
      <w:pPr>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（1）甲方账户</w:t>
      </w:r>
    </w:p>
    <w:p w14:paraId="5A1A8292">
      <w:pPr>
        <w:snapToGrid w:val="0"/>
        <w:spacing w:line="400" w:lineRule="exact"/>
        <w:ind w:firstLine="480" w:firstLineChars="200"/>
        <w:rPr>
          <w:rFonts w:hint="default" w:ascii="仿宋" w:hAnsi="仿宋" w:eastAsia="仿宋" w:cs="仿宋"/>
          <w:b w:val="0"/>
          <w:bCs/>
          <w:color w:val="auto"/>
          <w:kern w:val="1"/>
          <w:sz w:val="24"/>
          <w:szCs w:val="24"/>
          <w:u w:val="single"/>
          <w:lang w:val="en-US"/>
        </w:rPr>
      </w:pPr>
      <w:r>
        <w:rPr>
          <w:rFonts w:hint="eastAsia" w:ascii="仿宋" w:hAnsi="仿宋" w:eastAsia="仿宋" w:cs="仿宋"/>
          <w:b w:val="0"/>
          <w:bCs/>
          <w:color w:val="auto"/>
          <w:kern w:val="1"/>
          <w:sz w:val="24"/>
          <w:szCs w:val="24"/>
        </w:rPr>
        <w:t>账户名称：</w:t>
      </w:r>
      <w:r>
        <w:rPr>
          <w:rFonts w:hint="eastAsia" w:ascii="仿宋" w:hAnsi="仿宋" w:eastAsia="仿宋" w:cs="仿宋"/>
          <w:b/>
          <w:bCs/>
          <w:sz w:val="24"/>
          <w:szCs w:val="24"/>
          <w:u w:val="single"/>
          <w:lang w:val="en-US" w:eastAsia="zh-CN"/>
        </w:rPr>
        <w:t xml:space="preserve">                  </w:t>
      </w:r>
    </w:p>
    <w:p w14:paraId="1D25C1F7">
      <w:pPr>
        <w:snapToGrid w:val="0"/>
        <w:spacing w:line="400" w:lineRule="exact"/>
        <w:ind w:left="1704" w:leftChars="240" w:hanging="1200" w:hangingChars="500"/>
        <w:rPr>
          <w:rFonts w:hint="eastAsia" w:ascii="仿宋" w:hAnsi="仿宋" w:eastAsia="仿宋" w:cs="仿宋"/>
          <w:b w:val="0"/>
          <w:bCs/>
          <w:color w:val="auto"/>
          <w:kern w:val="1"/>
          <w:sz w:val="24"/>
          <w:szCs w:val="24"/>
          <w:u w:val="single"/>
          <w:shd w:val="clear" w:color="auto" w:fill="FFFFFF"/>
        </w:rPr>
      </w:pPr>
      <w:r>
        <w:rPr>
          <w:rFonts w:hint="eastAsia" w:ascii="仿宋" w:hAnsi="仿宋" w:eastAsia="仿宋" w:cs="仿宋"/>
          <w:b w:val="0"/>
          <w:bCs/>
          <w:color w:val="auto"/>
          <w:kern w:val="1"/>
          <w:sz w:val="24"/>
          <w:szCs w:val="24"/>
        </w:rPr>
        <w:t>地    址：</w:t>
      </w:r>
      <w:r>
        <w:rPr>
          <w:rFonts w:hint="eastAsia" w:ascii="仿宋" w:hAnsi="仿宋" w:eastAsia="仿宋" w:cs="仿宋"/>
          <w:b/>
          <w:bCs/>
          <w:sz w:val="24"/>
          <w:szCs w:val="24"/>
          <w:u w:val="single"/>
          <w:lang w:val="en-US" w:eastAsia="zh-CN"/>
        </w:rPr>
        <w:t xml:space="preserve">                  </w:t>
      </w:r>
    </w:p>
    <w:p w14:paraId="4C08FDEF">
      <w:pPr>
        <w:spacing w:line="400" w:lineRule="exact"/>
        <w:ind w:firstLine="480" w:firstLineChars="200"/>
        <w:rPr>
          <w:rFonts w:hint="eastAsia" w:ascii="仿宋" w:hAnsi="仿宋" w:eastAsia="仿宋" w:cs="仿宋"/>
          <w:b w:val="0"/>
          <w:bCs/>
          <w:color w:val="auto"/>
          <w:kern w:val="1"/>
          <w:sz w:val="24"/>
          <w:szCs w:val="24"/>
          <w:u w:val="single"/>
          <w:lang w:val="en-US" w:eastAsia="zh-CN"/>
        </w:rPr>
      </w:pPr>
      <w:r>
        <w:rPr>
          <w:rFonts w:hint="eastAsia" w:ascii="仿宋" w:hAnsi="仿宋" w:eastAsia="仿宋" w:cs="仿宋"/>
          <w:b w:val="0"/>
          <w:bCs/>
          <w:color w:val="auto"/>
          <w:kern w:val="1"/>
          <w:sz w:val="24"/>
          <w:szCs w:val="24"/>
        </w:rPr>
        <w:t>开户银行：</w:t>
      </w:r>
      <w:r>
        <w:rPr>
          <w:rFonts w:hint="eastAsia" w:ascii="仿宋" w:hAnsi="仿宋" w:eastAsia="仿宋" w:cs="仿宋"/>
          <w:b/>
          <w:bCs/>
          <w:sz w:val="24"/>
          <w:szCs w:val="24"/>
          <w:u w:val="single"/>
          <w:lang w:val="en-US" w:eastAsia="zh-CN"/>
        </w:rPr>
        <w:t xml:space="preserve">                  </w:t>
      </w:r>
    </w:p>
    <w:p w14:paraId="2BF5944D">
      <w:pPr>
        <w:spacing w:line="400" w:lineRule="exact"/>
        <w:ind w:firstLine="480" w:firstLineChars="200"/>
        <w:rPr>
          <w:rFonts w:hint="eastAsia" w:ascii="仿宋" w:hAnsi="仿宋" w:eastAsia="仿宋" w:cs="仿宋"/>
          <w:b w:val="0"/>
          <w:bCs/>
          <w:color w:val="auto"/>
          <w:kern w:val="1"/>
          <w:sz w:val="24"/>
          <w:szCs w:val="24"/>
          <w:lang w:val="en-US" w:eastAsia="zh-CN"/>
        </w:rPr>
      </w:pPr>
      <w:r>
        <w:rPr>
          <w:rFonts w:hint="eastAsia" w:ascii="仿宋" w:hAnsi="仿宋" w:eastAsia="仿宋" w:cs="仿宋"/>
          <w:b w:val="0"/>
          <w:bCs/>
          <w:color w:val="auto"/>
          <w:kern w:val="1"/>
          <w:sz w:val="24"/>
          <w:szCs w:val="24"/>
        </w:rPr>
        <w:t>开户账号：</w:t>
      </w:r>
      <w:r>
        <w:rPr>
          <w:rFonts w:hint="eastAsia" w:ascii="仿宋" w:hAnsi="仿宋" w:eastAsia="仿宋" w:cs="仿宋"/>
          <w:b/>
          <w:bCs/>
          <w:sz w:val="24"/>
          <w:szCs w:val="24"/>
          <w:u w:val="single"/>
          <w:lang w:val="en-US" w:eastAsia="zh-CN"/>
        </w:rPr>
        <w:t xml:space="preserve">                  </w:t>
      </w:r>
    </w:p>
    <w:p w14:paraId="206332E7">
      <w:pPr>
        <w:spacing w:line="400" w:lineRule="exact"/>
        <w:ind w:firstLine="480" w:firstLineChars="200"/>
        <w:rPr>
          <w:rFonts w:hint="eastAsia" w:ascii="仿宋" w:hAnsi="仿宋" w:eastAsia="仿宋" w:cs="仿宋"/>
          <w:b w:val="0"/>
          <w:bCs/>
          <w:color w:val="auto"/>
          <w:kern w:val="1"/>
          <w:sz w:val="24"/>
          <w:szCs w:val="24"/>
          <w:u w:val="single"/>
          <w:lang w:val="en-US" w:eastAsia="zh-CN"/>
        </w:rPr>
      </w:pPr>
      <w:r>
        <w:rPr>
          <w:rFonts w:hint="eastAsia" w:ascii="仿宋" w:hAnsi="仿宋" w:eastAsia="仿宋" w:cs="仿宋"/>
          <w:b w:val="0"/>
          <w:bCs/>
          <w:color w:val="auto"/>
          <w:kern w:val="1"/>
          <w:sz w:val="24"/>
          <w:szCs w:val="24"/>
        </w:rPr>
        <w:t>纳税识别号：</w:t>
      </w:r>
      <w:r>
        <w:rPr>
          <w:rFonts w:hint="eastAsia" w:ascii="仿宋" w:hAnsi="仿宋" w:eastAsia="仿宋" w:cs="仿宋"/>
          <w:b/>
          <w:bCs/>
          <w:sz w:val="24"/>
          <w:szCs w:val="24"/>
          <w:u w:val="single"/>
          <w:lang w:val="en-US" w:eastAsia="zh-CN"/>
        </w:rPr>
        <w:t xml:space="preserve">                  </w:t>
      </w:r>
    </w:p>
    <w:p w14:paraId="0325DE06">
      <w:pPr>
        <w:snapToGrid w:val="0"/>
        <w:spacing w:line="400" w:lineRule="exact"/>
        <w:ind w:firstLine="480" w:firstLineChars="200"/>
        <w:rPr>
          <w:rFonts w:hint="eastAsia" w:ascii="仿宋" w:hAnsi="仿宋" w:eastAsia="仿宋" w:cs="仿宋"/>
          <w:b w:val="0"/>
          <w:bCs/>
          <w:color w:val="auto"/>
          <w:kern w:val="1"/>
          <w:sz w:val="24"/>
          <w:szCs w:val="24"/>
          <w:u w:val="single"/>
          <w:lang w:val="en-US" w:eastAsia="zh-CN"/>
        </w:rPr>
      </w:pPr>
      <w:r>
        <w:rPr>
          <w:rFonts w:hint="eastAsia" w:ascii="仿宋" w:hAnsi="仿宋" w:eastAsia="仿宋" w:cs="仿宋"/>
          <w:b w:val="0"/>
          <w:bCs/>
          <w:color w:val="auto"/>
          <w:kern w:val="1"/>
          <w:sz w:val="24"/>
          <w:szCs w:val="24"/>
        </w:rPr>
        <w:t>联系电话：</w:t>
      </w:r>
      <w:r>
        <w:rPr>
          <w:rFonts w:hint="eastAsia" w:ascii="仿宋" w:hAnsi="仿宋" w:eastAsia="仿宋" w:cs="仿宋"/>
          <w:b/>
          <w:bCs/>
          <w:sz w:val="24"/>
          <w:szCs w:val="24"/>
          <w:u w:val="single"/>
          <w:lang w:val="en-US" w:eastAsia="zh-CN"/>
        </w:rPr>
        <w:t xml:space="preserve">                  </w:t>
      </w:r>
    </w:p>
    <w:p w14:paraId="468AFD12">
      <w:pPr>
        <w:snapToGrid w:val="0"/>
        <w:spacing w:line="400" w:lineRule="exact"/>
        <w:ind w:firstLine="480" w:firstLineChars="200"/>
        <w:rPr>
          <w:rFonts w:ascii="仿宋" w:hAnsi="仿宋" w:eastAsia="仿宋"/>
          <w:kern w:val="1"/>
          <w:sz w:val="24"/>
          <w:szCs w:val="24"/>
        </w:rPr>
      </w:pPr>
      <w:r>
        <w:rPr>
          <w:rFonts w:hint="eastAsia" w:ascii="仿宋" w:hAnsi="仿宋" w:eastAsia="仿宋"/>
          <w:kern w:val="1"/>
          <w:sz w:val="24"/>
          <w:szCs w:val="24"/>
        </w:rPr>
        <w:t>（2）乙方账户</w:t>
      </w:r>
    </w:p>
    <w:p w14:paraId="652D93BE">
      <w:pPr>
        <w:spacing w:line="400" w:lineRule="exact"/>
        <w:ind w:firstLine="480" w:firstLineChars="200"/>
        <w:rPr>
          <w:rFonts w:hint="default" w:ascii="仿宋" w:hAnsi="仿宋" w:eastAsia="仿宋"/>
          <w:bCs/>
          <w:kern w:val="1"/>
          <w:sz w:val="24"/>
          <w:szCs w:val="24"/>
          <w:lang w:val="en-US" w:eastAsia="zh-CN"/>
        </w:rPr>
      </w:pPr>
      <w:r>
        <w:rPr>
          <w:rFonts w:hint="eastAsia" w:ascii="仿宋" w:hAnsi="仿宋" w:eastAsia="仿宋"/>
          <w:bCs/>
          <w:kern w:val="1"/>
          <w:sz w:val="24"/>
          <w:szCs w:val="24"/>
        </w:rPr>
        <w:t>账户名称：</w:t>
      </w:r>
      <w:r>
        <w:rPr>
          <w:rFonts w:hint="eastAsia" w:ascii="仿宋" w:hAnsi="仿宋" w:eastAsia="仿宋"/>
          <w:bCs/>
          <w:kern w:val="1"/>
          <w:sz w:val="24"/>
          <w:szCs w:val="24"/>
          <w:u w:val="single"/>
          <w:lang w:val="en-US" w:eastAsia="zh-CN"/>
        </w:rPr>
        <w:t xml:space="preserve">                                </w:t>
      </w:r>
    </w:p>
    <w:p w14:paraId="2A1512EB">
      <w:pPr>
        <w:spacing w:line="400" w:lineRule="exact"/>
        <w:ind w:firstLine="480" w:firstLineChars="200"/>
        <w:rPr>
          <w:rFonts w:hint="default" w:ascii="仿宋" w:hAnsi="仿宋" w:eastAsia="仿宋"/>
          <w:bCs/>
          <w:kern w:val="1"/>
          <w:sz w:val="24"/>
          <w:szCs w:val="24"/>
          <w:u w:val="single"/>
          <w:lang w:val="en-US" w:eastAsia="zh-CN"/>
        </w:rPr>
      </w:pPr>
      <w:r>
        <w:rPr>
          <w:rFonts w:hint="eastAsia" w:ascii="仿宋" w:hAnsi="仿宋" w:eastAsia="仿宋"/>
          <w:bCs/>
          <w:kern w:val="1"/>
          <w:sz w:val="24"/>
          <w:szCs w:val="24"/>
        </w:rPr>
        <w:t>开户银行：</w:t>
      </w:r>
      <w:r>
        <w:rPr>
          <w:rFonts w:hint="eastAsia" w:ascii="仿宋" w:hAnsi="仿宋" w:eastAsia="仿宋"/>
          <w:bCs/>
          <w:kern w:val="1"/>
          <w:sz w:val="24"/>
          <w:szCs w:val="24"/>
          <w:u w:val="single"/>
          <w:lang w:val="en-US" w:eastAsia="zh-CN"/>
        </w:rPr>
        <w:t xml:space="preserve">                                </w:t>
      </w:r>
    </w:p>
    <w:p w14:paraId="690AA9C9">
      <w:pPr>
        <w:spacing w:line="400" w:lineRule="exact"/>
        <w:ind w:firstLine="480" w:firstLineChars="200"/>
        <w:rPr>
          <w:rFonts w:hint="default" w:ascii="仿宋" w:hAnsi="仿宋" w:eastAsia="仿宋"/>
          <w:kern w:val="1"/>
          <w:sz w:val="24"/>
          <w:szCs w:val="24"/>
          <w:lang w:val="en-US" w:eastAsia="zh-CN"/>
        </w:rPr>
      </w:pPr>
      <w:r>
        <w:rPr>
          <w:rFonts w:hint="eastAsia" w:ascii="仿宋" w:hAnsi="仿宋" w:eastAsia="仿宋"/>
          <w:bCs/>
          <w:kern w:val="1"/>
          <w:sz w:val="24"/>
          <w:szCs w:val="24"/>
        </w:rPr>
        <w:t>开户账号：</w:t>
      </w:r>
      <w:r>
        <w:rPr>
          <w:rFonts w:hint="eastAsia" w:ascii="仿宋" w:hAnsi="仿宋" w:eastAsia="仿宋"/>
          <w:kern w:val="1"/>
          <w:sz w:val="24"/>
          <w:szCs w:val="24"/>
          <w:u w:val="single"/>
          <w:lang w:val="en-US" w:eastAsia="zh-CN"/>
        </w:rPr>
        <w:t xml:space="preserve">                       </w:t>
      </w:r>
    </w:p>
    <w:p w14:paraId="4B98700E">
      <w:pPr>
        <w:spacing w:line="400" w:lineRule="exact"/>
        <w:ind w:firstLine="480" w:firstLineChars="200"/>
        <w:rPr>
          <w:rFonts w:hint="default" w:ascii="仿宋" w:hAnsi="仿宋" w:eastAsia="仿宋" w:cs="仿宋"/>
          <w:bCs/>
          <w:kern w:val="1"/>
          <w:sz w:val="24"/>
          <w:szCs w:val="24"/>
          <w:lang w:val="en-US" w:eastAsia="zh-CN"/>
        </w:rPr>
      </w:pPr>
      <w:r>
        <w:rPr>
          <w:rFonts w:hint="eastAsia" w:ascii="仿宋" w:hAnsi="仿宋" w:eastAsia="仿宋" w:cs="仿宋"/>
          <w:bCs/>
          <w:kern w:val="1"/>
          <w:sz w:val="24"/>
          <w:szCs w:val="24"/>
        </w:rPr>
        <w:t>纳税识别号：</w:t>
      </w:r>
      <w:r>
        <w:rPr>
          <w:rFonts w:hint="eastAsia" w:ascii="仿宋" w:hAnsi="仿宋" w:eastAsia="仿宋" w:cs="仿宋"/>
          <w:bCs/>
          <w:kern w:val="1"/>
          <w:sz w:val="24"/>
          <w:szCs w:val="24"/>
          <w:u w:val="single"/>
          <w:lang w:val="en-US" w:eastAsia="zh-CN"/>
        </w:rPr>
        <w:t xml:space="preserve">                      </w:t>
      </w:r>
    </w:p>
    <w:p w14:paraId="2B7F9292">
      <w:pPr>
        <w:spacing w:line="400" w:lineRule="exact"/>
        <w:ind w:firstLine="480" w:firstLineChars="200"/>
        <w:rPr>
          <w:rFonts w:hint="default" w:ascii="仿宋" w:hAnsi="仿宋" w:eastAsia="仿宋"/>
          <w:sz w:val="28"/>
          <w:szCs w:val="28"/>
          <w:u w:val="single"/>
          <w:lang w:val="en-US" w:eastAsia="zh-CN"/>
        </w:rPr>
      </w:pPr>
      <w:r>
        <w:rPr>
          <w:rFonts w:hint="eastAsia" w:ascii="仿宋" w:hAnsi="仿宋" w:eastAsia="仿宋" w:cs="仿宋"/>
          <w:bCs/>
          <w:kern w:val="1"/>
          <w:sz w:val="24"/>
          <w:szCs w:val="24"/>
        </w:rPr>
        <w:t>联系电话：</w:t>
      </w:r>
      <w:r>
        <w:rPr>
          <w:rFonts w:hint="eastAsia" w:ascii="仿宋" w:hAnsi="仿宋" w:eastAsia="仿宋" w:cs="仿宋"/>
          <w:bCs/>
          <w:kern w:val="1"/>
          <w:sz w:val="24"/>
          <w:szCs w:val="24"/>
          <w:u w:val="single"/>
          <w:lang w:val="en-US" w:eastAsia="zh-CN"/>
        </w:rPr>
        <w:t xml:space="preserve">                    </w:t>
      </w:r>
    </w:p>
    <w:p w14:paraId="0575A8C8">
      <w:pPr>
        <w:pBdr>
          <w:left w:val="none" w:color="000000" w:sz="0" w:space="1"/>
        </w:pBdr>
        <w:spacing w:line="400" w:lineRule="exact"/>
        <w:ind w:firstLine="560" w:firstLineChars="200"/>
        <w:jc w:val="left"/>
        <w:outlineLvl w:val="0"/>
        <w:rPr>
          <w:rFonts w:ascii="黑体" w:hAnsi="黑体" w:eastAsia="黑体"/>
          <w:bCs/>
          <w:sz w:val="28"/>
          <w:szCs w:val="28"/>
        </w:rPr>
      </w:pPr>
      <w:r>
        <w:rPr>
          <w:rFonts w:hint="eastAsia" w:ascii="黑体" w:hAnsi="黑体" w:eastAsia="黑体"/>
          <w:bCs/>
          <w:sz w:val="28"/>
          <w:szCs w:val="28"/>
        </w:rPr>
        <w:t>第五条  危险废物贮存、包装及标识</w:t>
      </w:r>
    </w:p>
    <w:p w14:paraId="43D5FA7E">
      <w:pPr>
        <w:pBdr>
          <w:left w:val="none" w:color="000000" w:sz="0" w:space="1"/>
        </w:pBdr>
        <w:spacing w:line="400" w:lineRule="exact"/>
        <w:ind w:firstLine="480" w:firstLineChars="200"/>
        <w:rPr>
          <w:rFonts w:ascii="仿宋" w:hAnsi="仿宋" w:eastAsia="仿宋"/>
          <w:bCs/>
          <w:sz w:val="24"/>
          <w:szCs w:val="24"/>
        </w:rPr>
      </w:pPr>
      <w:r>
        <w:rPr>
          <w:rFonts w:hint="eastAsia" w:ascii="仿宋" w:hAnsi="仿宋" w:eastAsia="仿宋"/>
          <w:bCs/>
          <w:sz w:val="24"/>
          <w:szCs w:val="24"/>
        </w:rPr>
        <w:t>危险废物包装应符合但不限于GB18597《危险废物贮存污染控制标准》、GB 12463-2009《危险货物运输包装通用技术条件》、HJ 2025-2012 《危险废物收集 贮存 运输技术规范》。</w:t>
      </w:r>
    </w:p>
    <w:p w14:paraId="4787639B">
      <w:pPr>
        <w:pBdr>
          <w:left w:val="none" w:color="000000" w:sz="0" w:space="1"/>
        </w:pBdr>
        <w:spacing w:line="400" w:lineRule="exact"/>
        <w:ind w:firstLine="480" w:firstLineChars="200"/>
        <w:rPr>
          <w:rFonts w:ascii="仿宋" w:hAnsi="仿宋" w:eastAsia="仿宋"/>
          <w:bCs/>
          <w:sz w:val="24"/>
          <w:szCs w:val="24"/>
        </w:rPr>
      </w:pPr>
      <w:r>
        <w:rPr>
          <w:rFonts w:hint="eastAsia" w:ascii="楷体" w:hAnsi="楷体" w:eastAsia="楷体" w:cs="楷体"/>
          <w:sz w:val="24"/>
          <w:szCs w:val="24"/>
        </w:rPr>
        <w:t>（一）</w:t>
      </w:r>
      <w:r>
        <w:rPr>
          <w:rFonts w:hint="eastAsia" w:ascii="仿宋" w:hAnsi="仿宋" w:eastAsia="仿宋"/>
          <w:bCs/>
          <w:sz w:val="24"/>
          <w:szCs w:val="24"/>
        </w:rPr>
        <w:t>禁止不相容危废在同一容器混装。</w:t>
      </w:r>
    </w:p>
    <w:p w14:paraId="2AC3B117">
      <w:pPr>
        <w:pBdr>
          <w:left w:val="none" w:color="000000" w:sz="0" w:space="1"/>
        </w:pBdr>
        <w:spacing w:line="400" w:lineRule="exact"/>
        <w:ind w:firstLine="480" w:firstLineChars="200"/>
        <w:rPr>
          <w:rFonts w:ascii="仿宋" w:hAnsi="仿宋" w:eastAsia="仿宋"/>
          <w:bCs/>
          <w:sz w:val="24"/>
          <w:szCs w:val="24"/>
        </w:rPr>
      </w:pPr>
      <w:r>
        <w:rPr>
          <w:rFonts w:hint="eastAsia" w:ascii="楷体" w:hAnsi="楷体" w:eastAsia="楷体" w:cs="楷体"/>
          <w:sz w:val="24"/>
          <w:szCs w:val="24"/>
        </w:rPr>
        <w:t>（二）</w:t>
      </w:r>
      <w:r>
        <w:rPr>
          <w:rFonts w:hint="eastAsia" w:ascii="仿宋" w:hAnsi="仿宋" w:eastAsia="仿宋"/>
          <w:bCs/>
          <w:sz w:val="24"/>
          <w:szCs w:val="24"/>
        </w:rPr>
        <w:t>盛装危险废物的容器材质和衬里与危险废物相容。</w:t>
      </w:r>
    </w:p>
    <w:p w14:paraId="2EC1376C">
      <w:pPr>
        <w:pBdr>
          <w:left w:val="none" w:color="000000" w:sz="0" w:space="1"/>
        </w:pBdr>
        <w:spacing w:line="400" w:lineRule="exact"/>
        <w:ind w:firstLine="480" w:firstLineChars="200"/>
        <w:rPr>
          <w:rFonts w:ascii="仿宋" w:hAnsi="仿宋" w:eastAsia="仿宋"/>
          <w:bCs/>
          <w:sz w:val="24"/>
          <w:szCs w:val="24"/>
        </w:rPr>
      </w:pPr>
      <w:r>
        <w:rPr>
          <w:rFonts w:hint="eastAsia" w:ascii="楷体" w:hAnsi="楷体" w:eastAsia="楷体" w:cs="楷体"/>
          <w:sz w:val="24"/>
          <w:szCs w:val="24"/>
        </w:rPr>
        <w:t>（三）</w:t>
      </w:r>
      <w:r>
        <w:rPr>
          <w:rFonts w:hint="eastAsia" w:ascii="仿宋" w:hAnsi="仿宋" w:eastAsia="仿宋"/>
          <w:bCs/>
          <w:sz w:val="24"/>
          <w:szCs w:val="24"/>
        </w:rPr>
        <w:t>盛装危险废物的容器必须标识，且符合规范。</w:t>
      </w:r>
    </w:p>
    <w:p w14:paraId="57056FE1">
      <w:pPr>
        <w:pBdr>
          <w:left w:val="none" w:color="000000" w:sz="0" w:space="1"/>
        </w:pBdr>
        <w:spacing w:line="400" w:lineRule="exact"/>
        <w:ind w:firstLine="480" w:firstLineChars="200"/>
        <w:rPr>
          <w:rFonts w:ascii="仿宋" w:hAnsi="仿宋" w:eastAsia="仿宋"/>
          <w:bCs/>
          <w:sz w:val="24"/>
          <w:szCs w:val="24"/>
        </w:rPr>
      </w:pPr>
      <w:r>
        <w:rPr>
          <w:rFonts w:hint="eastAsia" w:ascii="楷体" w:hAnsi="楷体" w:eastAsia="楷体" w:cs="楷体"/>
          <w:sz w:val="24"/>
          <w:szCs w:val="24"/>
        </w:rPr>
        <w:t>（四）</w:t>
      </w:r>
      <w:r>
        <w:rPr>
          <w:rFonts w:hint="eastAsia" w:ascii="仿宋" w:hAnsi="仿宋" w:eastAsia="仿宋"/>
          <w:bCs/>
          <w:sz w:val="24"/>
          <w:szCs w:val="24"/>
        </w:rPr>
        <w:t>容器、包装必须完好无损,</w:t>
      </w:r>
      <w:r>
        <w:rPr>
          <w:rFonts w:hint="eastAsia" w:ascii="仿宋" w:hAnsi="仿宋" w:eastAsia="仿宋"/>
          <w:b/>
          <w:bCs/>
          <w:sz w:val="24"/>
          <w:szCs w:val="24"/>
        </w:rPr>
        <w:t>密封严密</w:t>
      </w:r>
      <w:r>
        <w:rPr>
          <w:rFonts w:hint="eastAsia" w:ascii="仿宋" w:hAnsi="仿宋" w:eastAsia="仿宋"/>
          <w:bCs/>
          <w:sz w:val="24"/>
          <w:szCs w:val="24"/>
        </w:rPr>
        <w:t>。</w:t>
      </w:r>
    </w:p>
    <w:p w14:paraId="360DE0D3">
      <w:pPr>
        <w:pBdr>
          <w:left w:val="none" w:color="000000" w:sz="0" w:space="1"/>
        </w:pBdr>
        <w:spacing w:line="400" w:lineRule="exact"/>
        <w:ind w:firstLine="480" w:firstLineChars="200"/>
        <w:rPr>
          <w:rFonts w:ascii="仿宋" w:hAnsi="仿宋" w:eastAsia="仿宋"/>
          <w:bCs/>
          <w:sz w:val="24"/>
          <w:szCs w:val="24"/>
        </w:rPr>
      </w:pPr>
      <w:r>
        <w:rPr>
          <w:rFonts w:hint="eastAsia" w:ascii="楷体" w:hAnsi="楷体" w:eastAsia="楷体" w:cs="楷体"/>
          <w:sz w:val="24"/>
          <w:szCs w:val="24"/>
        </w:rPr>
        <w:t>（五）</w:t>
      </w:r>
      <w:r>
        <w:rPr>
          <w:rFonts w:hint="eastAsia" w:ascii="仿宋" w:hAnsi="仿宋" w:eastAsia="仿宋"/>
          <w:bCs/>
          <w:sz w:val="24"/>
          <w:szCs w:val="24"/>
        </w:rPr>
        <w:t>容器和材质符合强度标准。</w:t>
      </w:r>
    </w:p>
    <w:p w14:paraId="072AB744">
      <w:pPr>
        <w:pBdr>
          <w:left w:val="none" w:color="000000" w:sz="0" w:space="1"/>
        </w:pBdr>
        <w:spacing w:line="400" w:lineRule="exact"/>
        <w:ind w:firstLine="480" w:firstLineChars="200"/>
        <w:rPr>
          <w:rFonts w:ascii="仿宋" w:hAnsi="仿宋" w:eastAsia="仿宋"/>
          <w:bCs/>
          <w:sz w:val="24"/>
          <w:szCs w:val="24"/>
        </w:rPr>
      </w:pPr>
      <w:r>
        <w:rPr>
          <w:rFonts w:hint="eastAsia" w:ascii="楷体" w:hAnsi="楷体" w:eastAsia="楷体" w:cs="楷体"/>
          <w:sz w:val="24"/>
          <w:szCs w:val="24"/>
        </w:rPr>
        <w:t>（六）</w:t>
      </w:r>
      <w:r>
        <w:rPr>
          <w:rFonts w:hint="eastAsia" w:ascii="仿宋" w:hAnsi="仿宋" w:eastAsia="仿宋"/>
          <w:bCs/>
          <w:sz w:val="24"/>
          <w:szCs w:val="24"/>
        </w:rPr>
        <w:t>装载液体和半固体的液体的容器须留足够空间，容器顶部与液体表面留100mm以上的空间。</w:t>
      </w:r>
    </w:p>
    <w:p w14:paraId="6E7C809B">
      <w:pPr>
        <w:pBdr>
          <w:left w:val="none" w:color="000000" w:sz="0" w:space="1"/>
        </w:pBdr>
        <w:spacing w:line="400" w:lineRule="exact"/>
        <w:ind w:firstLine="480" w:firstLineChars="200"/>
        <w:rPr>
          <w:rFonts w:ascii="仿宋" w:hAnsi="仿宋" w:eastAsia="仿宋"/>
          <w:bCs/>
          <w:sz w:val="24"/>
          <w:szCs w:val="24"/>
        </w:rPr>
      </w:pPr>
      <w:r>
        <w:rPr>
          <w:rFonts w:hint="eastAsia" w:ascii="楷体" w:hAnsi="楷体" w:eastAsia="楷体" w:cs="楷体"/>
          <w:sz w:val="24"/>
          <w:szCs w:val="24"/>
        </w:rPr>
        <w:t>（七）</w:t>
      </w:r>
      <w:r>
        <w:rPr>
          <w:rFonts w:hint="eastAsia" w:ascii="仿宋" w:hAnsi="仿宋" w:eastAsia="仿宋"/>
          <w:bCs/>
          <w:sz w:val="24"/>
          <w:szCs w:val="24"/>
        </w:rPr>
        <w:t>标识准确、规范。</w:t>
      </w:r>
    </w:p>
    <w:p w14:paraId="291D2539">
      <w:pPr>
        <w:pBdr>
          <w:left w:val="none" w:color="000000" w:sz="0" w:space="1"/>
        </w:pBdr>
        <w:spacing w:line="400" w:lineRule="exact"/>
        <w:ind w:firstLine="480" w:firstLineChars="200"/>
        <w:rPr>
          <w:rFonts w:ascii="黑体" w:hAnsi="黑体" w:eastAsia="黑体"/>
          <w:bCs/>
          <w:sz w:val="28"/>
          <w:szCs w:val="28"/>
        </w:rPr>
      </w:pPr>
      <w:r>
        <w:rPr>
          <w:rFonts w:hint="eastAsia" w:ascii="楷体" w:hAnsi="楷体" w:eastAsia="楷体" w:cs="楷体"/>
          <w:sz w:val="24"/>
          <w:szCs w:val="24"/>
        </w:rPr>
        <w:t>（八）</w:t>
      </w:r>
      <w:r>
        <w:rPr>
          <w:rFonts w:hint="eastAsia" w:ascii="仿宋" w:hAnsi="仿宋" w:eastAsia="仿宋"/>
          <w:b/>
          <w:bCs/>
          <w:sz w:val="24"/>
          <w:szCs w:val="24"/>
        </w:rPr>
        <w:t>危废贮存不漏不洒</w:t>
      </w:r>
      <w:r>
        <w:rPr>
          <w:rFonts w:hint="eastAsia" w:ascii="仿宋" w:hAnsi="仿宋" w:eastAsia="仿宋"/>
          <w:bCs/>
          <w:sz w:val="24"/>
          <w:szCs w:val="24"/>
        </w:rPr>
        <w:t>。</w:t>
      </w:r>
    </w:p>
    <w:p w14:paraId="419FA8BF">
      <w:pPr>
        <w:numPr>
          <w:ilvl w:val="0"/>
          <w:numId w:val="3"/>
        </w:numPr>
        <w:pBdr>
          <w:left w:val="none" w:color="000000" w:sz="0" w:space="1"/>
        </w:pBdr>
        <w:spacing w:line="400" w:lineRule="exact"/>
        <w:ind w:firstLine="560" w:firstLineChars="200"/>
        <w:jc w:val="left"/>
        <w:outlineLvl w:val="0"/>
        <w:rPr>
          <w:rFonts w:ascii="黑体" w:hAnsi="黑体" w:eastAsia="黑体" w:cs="黑体"/>
          <w:bCs/>
          <w:sz w:val="28"/>
          <w:szCs w:val="28"/>
        </w:rPr>
      </w:pPr>
      <w:r>
        <w:rPr>
          <w:rFonts w:hint="eastAsia" w:ascii="黑体" w:hAnsi="黑体" w:eastAsia="黑体" w:cs="黑体"/>
          <w:bCs/>
          <w:sz w:val="28"/>
          <w:szCs w:val="28"/>
        </w:rPr>
        <w:t xml:space="preserve"> 危险废物转移</w:t>
      </w:r>
      <w:r>
        <w:rPr>
          <w:rFonts w:hint="eastAsia" w:ascii="黑体" w:hAnsi="黑体" w:eastAsia="黑体"/>
          <w:sz w:val="28"/>
          <w:szCs w:val="28"/>
        </w:rPr>
        <w:t>（根据实际情况勾选“</w:t>
      </w:r>
      <w:r>
        <w:rPr>
          <w:rFonts w:hint="eastAsia" w:ascii="仿宋" w:hAnsi="仿宋" w:eastAsia="仿宋" w:cs="黑体"/>
          <w:sz w:val="24"/>
          <w:szCs w:val="24"/>
        </w:rPr>
        <w:sym w:font="Wingdings" w:char="00FE"/>
      </w:r>
      <w:r>
        <w:rPr>
          <w:rFonts w:hint="eastAsia" w:ascii="黑体" w:hAnsi="黑体" w:eastAsia="黑体"/>
          <w:sz w:val="28"/>
          <w:szCs w:val="28"/>
        </w:rPr>
        <w:t>”）</w:t>
      </w:r>
    </w:p>
    <w:p w14:paraId="245DD8FC">
      <w:pPr>
        <w:pBdr>
          <w:left w:val="none" w:color="000000" w:sz="0" w:space="1"/>
        </w:pBdr>
        <w:spacing w:line="400" w:lineRule="exact"/>
        <w:ind w:firstLine="560" w:firstLineChars="200"/>
        <w:jc w:val="left"/>
        <w:outlineLvl w:val="0"/>
        <w:rPr>
          <w:rFonts w:ascii="楷体" w:hAnsi="楷体" w:eastAsia="楷体" w:cs="楷体"/>
          <w:bCs/>
          <w:sz w:val="28"/>
          <w:szCs w:val="28"/>
        </w:rPr>
      </w:pPr>
      <w:r>
        <w:rPr>
          <w:rFonts w:hint="eastAsia" w:ascii="楷体" w:hAnsi="楷体" w:eastAsia="楷体" w:cs="楷体"/>
          <w:bCs/>
          <w:sz w:val="28"/>
          <w:szCs w:val="28"/>
        </w:rPr>
        <w:t>（一）运输方式</w:t>
      </w:r>
    </w:p>
    <w:p w14:paraId="04F4F429">
      <w:pPr>
        <w:pBdr>
          <w:left w:val="none" w:color="000000" w:sz="0" w:space="1"/>
        </w:pBdr>
        <w:spacing w:line="400" w:lineRule="exact"/>
        <w:ind w:firstLine="480" w:firstLineChars="200"/>
        <w:jc w:val="left"/>
        <w:outlineLvl w:val="0"/>
        <w:rPr>
          <w:rFonts w:ascii="仿宋" w:hAnsi="仿宋" w:eastAsia="仿宋"/>
          <w:bCs/>
          <w:sz w:val="24"/>
          <w:szCs w:val="24"/>
        </w:rPr>
      </w:pPr>
      <w:r>
        <w:rPr>
          <w:rFonts w:hint="eastAsia" w:ascii="仿宋" w:hAnsi="仿宋" w:eastAsia="仿宋"/>
          <w:sz w:val="24"/>
          <w:szCs w:val="24"/>
        </w:rPr>
        <w:t>□</w:t>
      </w:r>
      <w:r>
        <w:rPr>
          <w:rFonts w:hint="eastAsia" w:ascii="仿宋" w:hAnsi="仿宋" w:eastAsia="仿宋"/>
          <w:bCs/>
          <w:sz w:val="24"/>
          <w:szCs w:val="24"/>
        </w:rPr>
        <w:t>危废运输由甲方（含委托有资质的第三人）自行负责。</w:t>
      </w:r>
    </w:p>
    <w:p w14:paraId="579ADD19">
      <w:pPr>
        <w:pBdr>
          <w:left w:val="none" w:color="000000" w:sz="0" w:space="1"/>
        </w:pBdr>
        <w:spacing w:line="400" w:lineRule="exact"/>
        <w:ind w:firstLine="480" w:firstLineChars="200"/>
        <w:jc w:val="left"/>
        <w:outlineLvl w:val="0"/>
        <w:rPr>
          <w:rFonts w:ascii="仿宋" w:hAnsi="仿宋" w:eastAsia="仿宋"/>
          <w:bCs/>
          <w:sz w:val="24"/>
          <w:szCs w:val="24"/>
        </w:rPr>
      </w:pPr>
      <w:r>
        <w:rPr>
          <w:rFonts w:hint="eastAsia" w:ascii="仿宋" w:hAnsi="仿宋" w:eastAsia="仿宋"/>
          <w:bCs/>
          <w:sz w:val="24"/>
          <w:szCs w:val="24"/>
        </w:rPr>
        <w:sym w:font="Wingdings" w:char="00FE"/>
      </w:r>
      <w:r>
        <w:rPr>
          <w:rFonts w:hint="eastAsia" w:ascii="仿宋" w:hAnsi="仿宋" w:eastAsia="仿宋"/>
          <w:bCs/>
          <w:sz w:val="24"/>
          <w:szCs w:val="24"/>
        </w:rPr>
        <w:t>危废运输由乙方（含委托有资质的第三人）承担。</w:t>
      </w:r>
    </w:p>
    <w:p w14:paraId="29455865">
      <w:pPr>
        <w:pBdr>
          <w:left w:val="none" w:color="000000" w:sz="0" w:space="1"/>
        </w:pBdr>
        <w:spacing w:line="400" w:lineRule="exact"/>
        <w:ind w:firstLine="560" w:firstLineChars="200"/>
        <w:rPr>
          <w:rFonts w:ascii="楷体" w:hAnsi="楷体" w:eastAsia="楷体" w:cs="楷体"/>
          <w:bCs/>
          <w:sz w:val="28"/>
          <w:szCs w:val="28"/>
        </w:rPr>
      </w:pPr>
      <w:r>
        <w:rPr>
          <w:rFonts w:hint="eastAsia" w:ascii="楷体" w:hAnsi="楷体" w:eastAsia="楷体" w:cs="楷体"/>
          <w:bCs/>
          <w:sz w:val="28"/>
          <w:szCs w:val="28"/>
        </w:rPr>
        <w:t>（二）风险转移</w:t>
      </w:r>
    </w:p>
    <w:p w14:paraId="0DDB4411">
      <w:pPr>
        <w:pBdr>
          <w:left w:val="none" w:color="000000" w:sz="0" w:space="1"/>
        </w:pBdr>
        <w:spacing w:line="400" w:lineRule="exact"/>
        <w:ind w:firstLine="480" w:firstLineChars="200"/>
        <w:rPr>
          <w:rFonts w:ascii="仿宋" w:hAnsi="仿宋" w:eastAsia="仿宋"/>
          <w:bCs/>
          <w:sz w:val="24"/>
          <w:szCs w:val="24"/>
        </w:rPr>
      </w:pPr>
      <w:r>
        <w:rPr>
          <w:rFonts w:hint="eastAsia" w:ascii="仿宋" w:hAnsi="仿宋" w:eastAsia="仿宋"/>
          <w:bCs/>
          <w:sz w:val="24"/>
          <w:szCs w:val="24"/>
        </w:rPr>
        <w:t>□甲方自行负责运输，运输车辆应服从乙方的安排，有序、安全、环保的进入乙方厂区，到达</w:t>
      </w:r>
      <w:r>
        <w:rPr>
          <w:rFonts w:hint="eastAsia" w:ascii="仿宋" w:hAnsi="仿宋" w:eastAsia="仿宋"/>
          <w:bCs/>
          <w:sz w:val="24"/>
          <w:szCs w:val="24"/>
          <w:u w:val="single"/>
          <w:lang w:val="en-US" w:eastAsia="zh-CN"/>
        </w:rPr>
        <w:t>资阳市安岳县李家镇流河村</w:t>
      </w:r>
      <w:r>
        <w:rPr>
          <w:rFonts w:hint="eastAsia" w:ascii="仿宋" w:hAnsi="仿宋" w:eastAsia="仿宋"/>
          <w:bCs/>
          <w:sz w:val="24"/>
          <w:szCs w:val="24"/>
        </w:rPr>
        <w:t>之前的风险以及车辆暂停乙方厂区运载危险废物未卸载之前的风险由甲方承担，危废卸载过程中及之后风险转移至乙方承担。</w:t>
      </w:r>
    </w:p>
    <w:p w14:paraId="6EA3009F">
      <w:pPr>
        <w:pBdr>
          <w:left w:val="none" w:color="000000" w:sz="0" w:space="1"/>
        </w:pBdr>
        <w:spacing w:line="400" w:lineRule="exact"/>
        <w:ind w:firstLine="480" w:firstLineChars="200"/>
        <w:rPr>
          <w:rFonts w:ascii="仿宋" w:hAnsi="仿宋" w:eastAsia="仿宋"/>
          <w:bCs/>
          <w:sz w:val="24"/>
          <w:szCs w:val="24"/>
        </w:rPr>
      </w:pPr>
      <w:r>
        <w:rPr>
          <w:rFonts w:hint="eastAsia" w:ascii="仿宋" w:hAnsi="仿宋" w:eastAsia="仿宋"/>
          <w:bCs/>
          <w:sz w:val="24"/>
          <w:szCs w:val="24"/>
        </w:rPr>
        <w:sym w:font="Wingdings" w:char="00FE"/>
      </w:r>
      <w:r>
        <w:rPr>
          <w:rFonts w:hint="eastAsia" w:ascii="仿宋" w:hAnsi="仿宋" w:eastAsia="仿宋"/>
          <w:bCs/>
          <w:sz w:val="24"/>
          <w:szCs w:val="24"/>
        </w:rPr>
        <w:t>危废运输由乙方承担的，危废离开甲方厂界（主物流出口大门）前的风险，由甲方自行承担；危废离开甲方厂界后，风险转移至乙方承担。甲方有多处危废暂存点的，以最后一处暂存点所在厂界作为甲乙双方风险转移的分界点。</w:t>
      </w:r>
    </w:p>
    <w:p w14:paraId="40558667">
      <w:pPr>
        <w:pBdr>
          <w:left w:val="none" w:color="000000" w:sz="0" w:space="1"/>
        </w:pBdr>
        <w:spacing w:line="400" w:lineRule="exact"/>
        <w:ind w:firstLine="480" w:firstLineChars="200"/>
        <w:rPr>
          <w:rFonts w:ascii="仿宋" w:hAnsi="仿宋" w:eastAsia="仿宋"/>
          <w:bCs/>
          <w:sz w:val="24"/>
          <w:szCs w:val="24"/>
        </w:rPr>
      </w:pPr>
      <w:r>
        <w:rPr>
          <w:rFonts w:hint="eastAsia" w:ascii="仿宋" w:hAnsi="仿宋" w:eastAsia="仿宋"/>
          <w:bCs/>
          <w:sz w:val="24"/>
          <w:szCs w:val="24"/>
        </w:rPr>
        <w:t>甲方承担风险转移前的环保、安全和其他责任，乙方承担风险转移后的环保、安全和其他责任。</w:t>
      </w:r>
    </w:p>
    <w:p w14:paraId="07155110">
      <w:pPr>
        <w:pBdr>
          <w:left w:val="none" w:color="000000" w:sz="0" w:space="1"/>
        </w:pBdr>
        <w:spacing w:line="400" w:lineRule="exact"/>
        <w:ind w:firstLine="560" w:firstLineChars="200"/>
        <w:rPr>
          <w:rFonts w:ascii="楷体" w:hAnsi="楷体" w:eastAsia="楷体" w:cs="楷体"/>
          <w:bCs/>
          <w:sz w:val="28"/>
          <w:szCs w:val="28"/>
        </w:rPr>
      </w:pPr>
      <w:r>
        <w:rPr>
          <w:rFonts w:hint="eastAsia" w:ascii="楷体" w:hAnsi="楷体" w:eastAsia="楷体" w:cs="楷体"/>
          <w:bCs/>
          <w:sz w:val="28"/>
          <w:szCs w:val="28"/>
        </w:rPr>
        <w:t>（三）危险废物转移执行</w:t>
      </w:r>
    </w:p>
    <w:p w14:paraId="4BC405E0">
      <w:pPr>
        <w:pBdr>
          <w:left w:val="none" w:color="000000" w:sz="0" w:space="1"/>
        </w:pBdr>
        <w:spacing w:line="400" w:lineRule="exact"/>
        <w:ind w:firstLine="480" w:firstLineChars="200"/>
        <w:jc w:val="left"/>
        <w:outlineLvl w:val="0"/>
        <w:rPr>
          <w:rFonts w:ascii="仿宋" w:hAnsi="仿宋" w:eastAsia="仿宋"/>
          <w:bCs/>
          <w:sz w:val="24"/>
          <w:szCs w:val="24"/>
        </w:rPr>
      </w:pPr>
      <w:r>
        <w:rPr>
          <w:rFonts w:hint="eastAsia" w:ascii="仿宋" w:hAnsi="仿宋" w:eastAsia="仿宋"/>
          <w:bCs/>
          <w:sz w:val="24"/>
          <w:szCs w:val="24"/>
        </w:rPr>
        <w:t>□甲方自行运输废物转移</w:t>
      </w:r>
    </w:p>
    <w:p w14:paraId="3B263201">
      <w:pPr>
        <w:pBdr>
          <w:left w:val="none" w:color="000000" w:sz="0" w:space="1"/>
        </w:pBdr>
        <w:spacing w:line="400" w:lineRule="exact"/>
        <w:ind w:firstLine="480" w:firstLineChars="200"/>
        <w:rPr>
          <w:rFonts w:ascii="仿宋" w:hAnsi="仿宋" w:eastAsia="仿宋"/>
          <w:bCs/>
          <w:sz w:val="24"/>
          <w:szCs w:val="24"/>
        </w:rPr>
      </w:pPr>
      <w:r>
        <w:rPr>
          <w:rFonts w:hint="eastAsia" w:ascii="仿宋" w:hAnsi="仿宋" w:eastAsia="仿宋"/>
          <w:bCs/>
          <w:sz w:val="24"/>
          <w:szCs w:val="24"/>
        </w:rPr>
        <w:t>甲方自行运输危废的，须服从乙方的计划；甲方须提前30个工作日提出转移申请，通知乙方拟转移的危废类别、数量；乙方接到甲方通知后10个工作日内，做出接收安排。</w:t>
      </w:r>
    </w:p>
    <w:p w14:paraId="7BA40ADC">
      <w:pPr>
        <w:pBdr>
          <w:left w:val="none" w:color="000000" w:sz="0" w:space="1"/>
        </w:pBdr>
        <w:spacing w:line="400" w:lineRule="exact"/>
        <w:ind w:firstLine="480" w:firstLineChars="200"/>
        <w:jc w:val="left"/>
        <w:outlineLvl w:val="0"/>
        <w:rPr>
          <w:rFonts w:ascii="仿宋" w:hAnsi="仿宋" w:eastAsia="仿宋"/>
          <w:bCs/>
          <w:sz w:val="24"/>
          <w:szCs w:val="24"/>
        </w:rPr>
      </w:pPr>
      <w:r>
        <w:rPr>
          <w:rFonts w:hint="eastAsia" w:ascii="仿宋" w:hAnsi="仿宋" w:eastAsia="仿宋"/>
          <w:bCs/>
          <w:sz w:val="24"/>
          <w:szCs w:val="24"/>
        </w:rPr>
        <w:sym w:font="Wingdings" w:char="00FE"/>
      </w:r>
      <w:r>
        <w:rPr>
          <w:rFonts w:hint="eastAsia" w:ascii="仿宋" w:hAnsi="仿宋" w:eastAsia="仿宋"/>
          <w:bCs/>
          <w:sz w:val="24"/>
          <w:szCs w:val="24"/>
        </w:rPr>
        <w:t>乙方运输废物转移</w:t>
      </w:r>
    </w:p>
    <w:p w14:paraId="347A2306">
      <w:pPr>
        <w:spacing w:line="400" w:lineRule="exact"/>
        <w:ind w:firstLine="480" w:firstLineChars="200"/>
        <w:jc w:val="left"/>
        <w:outlineLvl w:val="0"/>
        <w:rPr>
          <w:rFonts w:ascii="黑体" w:hAnsi="黑体" w:eastAsia="黑体"/>
          <w:bCs/>
          <w:sz w:val="28"/>
          <w:szCs w:val="28"/>
        </w:rPr>
      </w:pPr>
      <w:r>
        <w:rPr>
          <w:rFonts w:hint="eastAsia" w:ascii="仿宋" w:hAnsi="仿宋" w:eastAsia="仿宋"/>
          <w:bCs/>
          <w:sz w:val="24"/>
          <w:szCs w:val="24"/>
        </w:rPr>
        <w:t>根据乙方生产计划安排,对甲方危险废物进行收处。</w:t>
      </w:r>
    </w:p>
    <w:p w14:paraId="7AAEF808">
      <w:pPr>
        <w:numPr>
          <w:ilvl w:val="0"/>
          <w:numId w:val="4"/>
        </w:numPr>
        <w:spacing w:line="400" w:lineRule="exact"/>
        <w:ind w:firstLine="560" w:firstLineChars="200"/>
        <w:jc w:val="left"/>
        <w:outlineLvl w:val="0"/>
        <w:rPr>
          <w:rFonts w:ascii="黑体" w:hAnsi="黑体" w:eastAsia="黑体" w:cs="黑体"/>
          <w:bCs/>
          <w:sz w:val="28"/>
          <w:szCs w:val="28"/>
        </w:rPr>
      </w:pPr>
      <w:r>
        <w:rPr>
          <w:rFonts w:hint="eastAsia" w:ascii="黑体" w:hAnsi="黑体" w:eastAsia="黑体" w:cs="黑体"/>
          <w:bCs/>
          <w:sz w:val="28"/>
          <w:szCs w:val="28"/>
        </w:rPr>
        <w:t xml:space="preserve"> 危险废物转移联单的管理</w:t>
      </w:r>
    </w:p>
    <w:p w14:paraId="0F1AC1C6">
      <w:pPr>
        <w:spacing w:line="400" w:lineRule="exact"/>
        <w:jc w:val="left"/>
        <w:outlineLvl w:val="0"/>
        <w:rPr>
          <w:rFonts w:ascii="楷体" w:hAnsi="楷体" w:eastAsia="楷体" w:cs="楷体"/>
          <w:bCs/>
          <w:color w:val="auto"/>
          <w:sz w:val="28"/>
          <w:szCs w:val="28"/>
        </w:rPr>
      </w:pPr>
      <w:r>
        <w:rPr>
          <w:rFonts w:hint="eastAsia" w:ascii="黑体" w:hAnsi="黑体" w:eastAsia="黑体" w:cs="黑体"/>
          <w:bCs/>
          <w:sz w:val="28"/>
          <w:szCs w:val="28"/>
        </w:rPr>
        <w:t xml:space="preserve">    </w:t>
      </w:r>
      <w:r>
        <w:rPr>
          <w:rFonts w:hint="eastAsia" w:ascii="楷体" w:hAnsi="楷体" w:eastAsia="楷体" w:cs="楷体"/>
          <w:bCs/>
          <w:color w:val="auto"/>
          <w:sz w:val="28"/>
          <w:szCs w:val="28"/>
        </w:rPr>
        <w:t>（一）电子危险废物转移联单的管理</w:t>
      </w:r>
    </w:p>
    <w:p w14:paraId="37EFD301">
      <w:pPr>
        <w:spacing w:line="400" w:lineRule="exact"/>
        <w:ind w:firstLine="480" w:firstLineChars="200"/>
        <w:jc w:val="left"/>
        <w:outlineLvl w:val="0"/>
        <w:rPr>
          <w:rFonts w:ascii="仿宋" w:hAnsi="仿宋" w:eastAsia="仿宋"/>
          <w:bCs/>
          <w:color w:val="auto"/>
          <w:sz w:val="24"/>
          <w:szCs w:val="24"/>
        </w:rPr>
      </w:pPr>
      <w:r>
        <w:rPr>
          <w:rFonts w:hint="eastAsia" w:ascii="仿宋" w:hAnsi="仿宋" w:eastAsia="仿宋"/>
          <w:bCs/>
          <w:color w:val="auto"/>
          <w:sz w:val="24"/>
          <w:szCs w:val="24"/>
        </w:rPr>
        <w:t>1.甲方必须向乙方提供内容真实的《危险废物转移联单》。甲方需在固体废物信息管理系统中备案需要转运危险废物种类及数量、运输公司、相应运输车辆信息后，根据现场转运实际重量及运输车辆信息在固体废物信息管理系统中填写完善危险废物转运联单并打印，并在产废单位名称处盖章公章。</w:t>
      </w:r>
    </w:p>
    <w:p w14:paraId="4173C400">
      <w:pPr>
        <w:spacing w:line="400" w:lineRule="exact"/>
        <w:ind w:firstLine="480" w:firstLineChars="200"/>
        <w:jc w:val="left"/>
        <w:outlineLvl w:val="0"/>
        <w:rPr>
          <w:rFonts w:ascii="仿宋" w:hAnsi="仿宋" w:eastAsia="仿宋"/>
          <w:bCs/>
          <w:color w:val="auto"/>
          <w:sz w:val="24"/>
          <w:szCs w:val="24"/>
        </w:rPr>
      </w:pPr>
      <w:r>
        <w:rPr>
          <w:rFonts w:hint="eastAsia" w:ascii="仿宋" w:hAnsi="仿宋" w:eastAsia="仿宋"/>
          <w:bCs/>
          <w:color w:val="auto"/>
          <w:sz w:val="24"/>
          <w:szCs w:val="24"/>
        </w:rPr>
        <w:t>2.甲方须保证对联单上由“危险废物移出（产生）单位填写”的“第一部分”的准确性、真实性负责。</w:t>
      </w:r>
    </w:p>
    <w:p w14:paraId="0D931B42">
      <w:pPr>
        <w:spacing w:line="400" w:lineRule="exact"/>
        <w:ind w:firstLine="480" w:firstLineChars="200"/>
        <w:jc w:val="left"/>
        <w:outlineLvl w:val="0"/>
        <w:rPr>
          <w:rFonts w:ascii="仿宋" w:hAnsi="仿宋" w:eastAsia="仿宋"/>
          <w:bCs/>
          <w:color w:val="auto"/>
          <w:sz w:val="24"/>
          <w:szCs w:val="24"/>
        </w:rPr>
      </w:pPr>
      <w:r>
        <w:rPr>
          <w:rFonts w:hint="eastAsia" w:ascii="仿宋" w:hAnsi="仿宋" w:eastAsia="仿宋"/>
          <w:bCs/>
          <w:color w:val="auto"/>
          <w:sz w:val="24"/>
          <w:szCs w:val="24"/>
        </w:rPr>
        <w:t>3.甲方应在称重后，在联单上填写重量，每种废物的重量应填写清楚，即一种危险废物填写对应重量，单位精确到千克或克。每种危险废物打印4张联，当产废单位、危废运输公司、危废接收公司都盖完章后，将4张联单分别给与危险废物产生单位、移出地生态环境局、移入地生态环境局、危废接收单位存档留底。</w:t>
      </w:r>
    </w:p>
    <w:p w14:paraId="5EC07218">
      <w:pPr>
        <w:spacing w:line="400" w:lineRule="exact"/>
        <w:ind w:firstLine="480" w:firstLineChars="200"/>
        <w:jc w:val="left"/>
        <w:outlineLvl w:val="0"/>
        <w:rPr>
          <w:rFonts w:ascii="楷体" w:hAnsi="楷体" w:eastAsia="楷体" w:cs="楷体"/>
          <w:bCs/>
          <w:sz w:val="28"/>
          <w:szCs w:val="28"/>
        </w:rPr>
      </w:pPr>
      <w:r>
        <w:rPr>
          <w:rFonts w:hint="eastAsia" w:ascii="楷体" w:hAnsi="楷体" w:eastAsia="楷体" w:cs="楷体"/>
          <w:bCs/>
          <w:sz w:val="24"/>
          <w:szCs w:val="24"/>
        </w:rPr>
        <w:t xml:space="preserve"> </w:t>
      </w:r>
      <w:r>
        <w:rPr>
          <w:rFonts w:hint="eastAsia" w:ascii="楷体" w:hAnsi="楷体" w:eastAsia="楷体" w:cs="楷体"/>
          <w:bCs/>
          <w:sz w:val="28"/>
          <w:szCs w:val="28"/>
        </w:rPr>
        <w:t>（二）纸质危险废物转移联单的管理</w:t>
      </w:r>
    </w:p>
    <w:p w14:paraId="74D103D2">
      <w:pPr>
        <w:spacing w:line="400" w:lineRule="exact"/>
        <w:ind w:firstLine="480" w:firstLineChars="200"/>
        <w:rPr>
          <w:rFonts w:ascii="仿宋" w:hAnsi="仿宋" w:eastAsia="仿宋"/>
          <w:bCs/>
          <w:sz w:val="24"/>
          <w:szCs w:val="24"/>
        </w:rPr>
      </w:pPr>
      <w:r>
        <w:rPr>
          <w:rFonts w:hint="eastAsia" w:ascii="仿宋" w:hAnsi="仿宋" w:eastAsia="仿宋"/>
          <w:bCs/>
          <w:sz w:val="24"/>
          <w:szCs w:val="24"/>
        </w:rPr>
        <w:t>1.联单填写</w:t>
      </w:r>
    </w:p>
    <w:p w14:paraId="01F6AE37">
      <w:pPr>
        <w:spacing w:line="400" w:lineRule="exact"/>
        <w:ind w:firstLine="480" w:firstLineChars="200"/>
        <w:rPr>
          <w:rFonts w:ascii="仿宋" w:hAnsi="仿宋" w:eastAsia="仿宋"/>
          <w:bCs/>
          <w:sz w:val="24"/>
          <w:szCs w:val="24"/>
        </w:rPr>
      </w:pPr>
      <w:r>
        <w:rPr>
          <w:rFonts w:hint="eastAsia" w:ascii="仿宋" w:hAnsi="仿宋" w:eastAsia="仿宋"/>
          <w:bCs/>
          <w:sz w:val="24"/>
          <w:szCs w:val="24"/>
        </w:rPr>
        <w:t>联单第一部分由甲方填写，危废的产生单位、运输单位、接收单位信息及危废信息填写准确，其中“数量”一栏按重量填写，危废称重后，甲方在联单上填写重量，每种废物的重量应填写清楚，即一种废物一个重量，单位精确到千克（废弃化学品精确到克）。 “发运人签字”一栏由“发运人”本人填写。“发运人”对联单“第一部分：废物产生单位填写”信息的准确性、完整性、真实性负责。</w:t>
      </w:r>
    </w:p>
    <w:p w14:paraId="52FE216F">
      <w:pPr>
        <w:spacing w:line="400" w:lineRule="exact"/>
        <w:ind w:firstLine="480" w:firstLineChars="200"/>
        <w:rPr>
          <w:rFonts w:ascii="仿宋" w:hAnsi="仿宋" w:eastAsia="仿宋"/>
          <w:bCs/>
          <w:sz w:val="24"/>
          <w:szCs w:val="24"/>
        </w:rPr>
      </w:pPr>
      <w:r>
        <w:rPr>
          <w:rFonts w:hint="eastAsia" w:ascii="仿宋" w:hAnsi="仿宋" w:eastAsia="仿宋"/>
          <w:bCs/>
          <w:sz w:val="24"/>
          <w:szCs w:val="24"/>
        </w:rPr>
        <w:t>联单第二部分由运输单位填写，运输单位核对联单第一部分栏目事项，准确填写承运人信息。</w:t>
      </w:r>
    </w:p>
    <w:p w14:paraId="78AA59C5">
      <w:pPr>
        <w:spacing w:line="400" w:lineRule="exact"/>
        <w:ind w:firstLine="480" w:firstLineChars="200"/>
        <w:rPr>
          <w:rFonts w:ascii="仿宋" w:hAnsi="仿宋" w:eastAsia="仿宋"/>
          <w:bCs/>
          <w:sz w:val="24"/>
          <w:szCs w:val="24"/>
        </w:rPr>
      </w:pPr>
      <w:r>
        <w:rPr>
          <w:rFonts w:hint="eastAsia" w:ascii="仿宋" w:hAnsi="仿宋" w:eastAsia="仿宋"/>
          <w:bCs/>
          <w:sz w:val="24"/>
          <w:szCs w:val="24"/>
        </w:rPr>
        <w:t>联单第三部分由乙方填写，乙方应核对联单第一部分、第二部分栏目信息，完成接收日期、处置方式等信息。</w:t>
      </w:r>
    </w:p>
    <w:p w14:paraId="555A7FC2">
      <w:pPr>
        <w:spacing w:line="400" w:lineRule="exact"/>
        <w:ind w:firstLine="480" w:firstLineChars="200"/>
        <w:jc w:val="left"/>
        <w:outlineLvl w:val="0"/>
        <w:rPr>
          <w:rFonts w:ascii="仿宋" w:hAnsi="仿宋" w:eastAsia="仿宋"/>
          <w:bCs/>
          <w:sz w:val="24"/>
          <w:szCs w:val="24"/>
        </w:rPr>
      </w:pPr>
      <w:r>
        <w:rPr>
          <w:rFonts w:hint="eastAsia" w:ascii="仿宋" w:hAnsi="仿宋" w:eastAsia="仿宋"/>
          <w:bCs/>
          <w:sz w:val="24"/>
          <w:szCs w:val="24"/>
        </w:rPr>
        <w:t>2.联单报送</w:t>
      </w:r>
    </w:p>
    <w:p w14:paraId="54421E3C">
      <w:pPr>
        <w:spacing w:line="400" w:lineRule="exact"/>
        <w:ind w:firstLine="480" w:firstLineChars="200"/>
        <w:jc w:val="left"/>
        <w:outlineLvl w:val="0"/>
        <w:rPr>
          <w:rFonts w:ascii="黑体" w:hAnsi="黑体" w:eastAsia="黑体" w:cs="黑体"/>
          <w:bCs/>
          <w:sz w:val="28"/>
          <w:szCs w:val="28"/>
        </w:rPr>
      </w:pPr>
      <w:r>
        <w:rPr>
          <w:rFonts w:hint="eastAsia" w:ascii="仿宋" w:hAnsi="仿宋" w:eastAsia="仿宋"/>
          <w:bCs/>
          <w:sz w:val="24"/>
          <w:szCs w:val="24"/>
        </w:rPr>
        <w:t>甲方必须向乙方提供内容真实、准确、完整的《危险废物转移联单》。第一联由甲方留存，第二联由甲方转交移出地环保部门。第三联由运输单位留存，第四联由乙方留存，第五联由乙方转交移入地环保部门。</w:t>
      </w:r>
    </w:p>
    <w:p w14:paraId="5A3F2861">
      <w:pPr>
        <w:spacing w:line="400" w:lineRule="exact"/>
        <w:ind w:firstLine="560" w:firstLineChars="200"/>
        <w:jc w:val="left"/>
        <w:outlineLvl w:val="0"/>
        <w:rPr>
          <w:rFonts w:ascii="黑体" w:hAnsi="黑体" w:eastAsia="黑体"/>
          <w:bCs/>
          <w:sz w:val="28"/>
          <w:szCs w:val="28"/>
        </w:rPr>
      </w:pPr>
      <w:r>
        <w:rPr>
          <w:rFonts w:hint="eastAsia" w:ascii="黑体" w:hAnsi="黑体" w:eastAsia="黑体"/>
          <w:bCs/>
          <w:sz w:val="28"/>
          <w:szCs w:val="28"/>
        </w:rPr>
        <w:t>第八条  甲方配合与协助</w:t>
      </w:r>
    </w:p>
    <w:p w14:paraId="37BFD429">
      <w:pPr>
        <w:spacing w:line="400" w:lineRule="exact"/>
        <w:ind w:firstLine="480" w:firstLineChars="200"/>
        <w:rPr>
          <w:rFonts w:ascii="仿宋" w:hAnsi="仿宋" w:eastAsia="仿宋"/>
          <w:bCs/>
          <w:sz w:val="24"/>
          <w:szCs w:val="24"/>
        </w:rPr>
      </w:pPr>
      <w:r>
        <w:rPr>
          <w:rFonts w:hint="eastAsia" w:ascii="仿宋" w:hAnsi="仿宋" w:eastAsia="仿宋"/>
          <w:bCs/>
          <w:sz w:val="24"/>
          <w:szCs w:val="24"/>
        </w:rPr>
        <w:t>为保证乙方安全有效开展服务工作，甲方应当向乙方提供下列工作条件和协作事项：</w:t>
      </w:r>
    </w:p>
    <w:p w14:paraId="57FB0152">
      <w:pPr>
        <w:numPr>
          <w:ilvl w:val="0"/>
          <w:numId w:val="5"/>
        </w:numPr>
        <w:spacing w:line="400" w:lineRule="exact"/>
        <w:ind w:firstLine="560" w:firstLineChars="200"/>
        <w:rPr>
          <w:rFonts w:ascii="楷体" w:hAnsi="楷体" w:eastAsia="楷体"/>
          <w:bCs/>
          <w:sz w:val="28"/>
          <w:szCs w:val="28"/>
        </w:rPr>
      </w:pPr>
      <w:r>
        <w:rPr>
          <w:rFonts w:hint="eastAsia" w:ascii="楷体" w:hAnsi="楷体" w:eastAsia="楷体"/>
          <w:bCs/>
          <w:sz w:val="28"/>
          <w:szCs w:val="28"/>
        </w:rPr>
        <w:t>提供技术资料</w:t>
      </w:r>
    </w:p>
    <w:p w14:paraId="08AE6F65">
      <w:pPr>
        <w:spacing w:line="400" w:lineRule="exact"/>
        <w:ind w:firstLine="480" w:firstLineChars="200"/>
        <w:rPr>
          <w:rFonts w:ascii="仿宋" w:hAnsi="仿宋" w:eastAsia="仿宋"/>
          <w:bCs/>
          <w:sz w:val="24"/>
          <w:szCs w:val="24"/>
        </w:rPr>
      </w:pPr>
      <w:r>
        <w:rPr>
          <w:rFonts w:hint="eastAsia" w:ascii="仿宋" w:hAnsi="仿宋" w:eastAsia="仿宋"/>
          <w:bCs/>
          <w:sz w:val="24"/>
          <w:szCs w:val="24"/>
        </w:rPr>
        <w:t>有关危险废物的基本信息（包括危险废物的成分、物理形态、包装物情况、预计委托转移数量、必要的安全预防措施等）。</w:t>
      </w:r>
    </w:p>
    <w:p w14:paraId="2C724682">
      <w:pPr>
        <w:numPr>
          <w:ilvl w:val="0"/>
          <w:numId w:val="5"/>
        </w:numPr>
        <w:spacing w:line="400" w:lineRule="exact"/>
        <w:ind w:firstLine="560" w:firstLineChars="200"/>
        <w:rPr>
          <w:rFonts w:ascii="楷体" w:hAnsi="楷体" w:eastAsia="楷体"/>
          <w:bCs/>
          <w:sz w:val="28"/>
          <w:szCs w:val="28"/>
        </w:rPr>
      </w:pPr>
      <w:r>
        <w:rPr>
          <w:rFonts w:hint="eastAsia" w:ascii="楷体" w:hAnsi="楷体" w:eastAsia="楷体"/>
          <w:bCs/>
          <w:sz w:val="28"/>
          <w:szCs w:val="28"/>
        </w:rPr>
        <w:t>提供工作条件</w:t>
      </w:r>
    </w:p>
    <w:p w14:paraId="014556D4">
      <w:pPr>
        <w:spacing w:line="400" w:lineRule="exact"/>
        <w:ind w:firstLine="480" w:firstLineChars="200"/>
        <w:rPr>
          <w:rFonts w:ascii="仿宋" w:hAnsi="仿宋" w:eastAsia="仿宋"/>
          <w:bCs/>
          <w:sz w:val="24"/>
          <w:szCs w:val="24"/>
        </w:rPr>
      </w:pPr>
      <w:r>
        <w:rPr>
          <w:rFonts w:hint="eastAsia" w:ascii="仿宋" w:hAnsi="仿宋" w:eastAsia="仿宋"/>
          <w:bCs/>
          <w:sz w:val="24"/>
          <w:szCs w:val="24"/>
        </w:rPr>
        <w:t>1.甲方负责对乙方进入甲方厂区人员进行甲方各项规定的培训、交底工作。</w:t>
      </w:r>
    </w:p>
    <w:p w14:paraId="58976C90">
      <w:pPr>
        <w:spacing w:line="400" w:lineRule="exact"/>
        <w:ind w:firstLine="480" w:firstLineChars="200"/>
        <w:rPr>
          <w:rFonts w:ascii="仿宋" w:hAnsi="仿宋" w:eastAsia="仿宋"/>
          <w:bCs/>
          <w:sz w:val="24"/>
          <w:szCs w:val="24"/>
        </w:rPr>
      </w:pPr>
      <w:r>
        <w:rPr>
          <w:rFonts w:hint="eastAsia" w:ascii="仿宋" w:hAnsi="仿宋" w:eastAsia="仿宋"/>
          <w:bCs/>
          <w:sz w:val="24"/>
          <w:szCs w:val="24"/>
        </w:rPr>
        <w:t>2.甲方负责废物的安全分类和包装，不得将不同性质、不同危险类别的废物混放混装，应满足安全转移和安全处置的条件；直接包装物明显位置标注废物名称和主要成分；在收集和临时存放过程中，甲方需将同类形态、同类物质、同类危险成分的废物进行统一存放，不得与其他物品进行混放，并详细标注废物特性与危险禁忌。对可能具有爆炸性、放射性和剧毒性等高危特殊废物，甲方有义务在转移前书面告知乙方废物的具体情况，确保运输和处置的安全。</w:t>
      </w:r>
    </w:p>
    <w:p w14:paraId="2CD36F66">
      <w:pPr>
        <w:spacing w:line="400" w:lineRule="exact"/>
        <w:ind w:firstLine="480" w:firstLineChars="200"/>
        <w:rPr>
          <w:rFonts w:ascii="仿宋" w:hAnsi="仿宋" w:eastAsia="仿宋"/>
          <w:bCs/>
          <w:sz w:val="24"/>
          <w:szCs w:val="24"/>
        </w:rPr>
      </w:pPr>
      <w:r>
        <w:rPr>
          <w:rFonts w:hint="eastAsia" w:ascii="仿宋" w:hAnsi="仿宋" w:eastAsia="仿宋"/>
          <w:bCs/>
          <w:sz w:val="24"/>
          <w:szCs w:val="24"/>
        </w:rPr>
        <w:t>3.委派专人负责工业废物转移的交接工作：转移联单的申请，协调废物的装载工作；乙方承担危废装卸任务时，对人力无法装载的包装件，甲方应协助提供叉车等装备或工具，确保装载过程中不发生环境污染。</w:t>
      </w:r>
    </w:p>
    <w:p w14:paraId="2ACEAC3E">
      <w:pPr>
        <w:spacing w:line="400" w:lineRule="exact"/>
        <w:ind w:firstLine="480" w:firstLineChars="200"/>
        <w:rPr>
          <w:rFonts w:ascii="仿宋" w:hAnsi="仿宋" w:eastAsia="仿宋"/>
          <w:bCs/>
          <w:sz w:val="24"/>
          <w:szCs w:val="24"/>
        </w:rPr>
      </w:pPr>
      <w:r>
        <w:rPr>
          <w:rFonts w:hint="eastAsia" w:ascii="仿宋" w:hAnsi="仿宋" w:eastAsia="仿宋"/>
          <w:bCs/>
          <w:sz w:val="24"/>
          <w:szCs w:val="24"/>
        </w:rPr>
        <w:t>4.甲方提供上述工作条件和协作事项的时间及方式：甲乙双方协商确定的废物转移时间前，以书面方式确认提供。</w:t>
      </w:r>
    </w:p>
    <w:p w14:paraId="2F2548DD">
      <w:pPr>
        <w:spacing w:line="400" w:lineRule="exact"/>
        <w:ind w:firstLine="480" w:firstLineChars="200"/>
        <w:rPr>
          <w:rFonts w:ascii="仿宋" w:hAnsi="仿宋" w:eastAsia="仿宋"/>
          <w:bCs/>
          <w:sz w:val="24"/>
          <w:szCs w:val="24"/>
        </w:rPr>
      </w:pPr>
      <w:r>
        <w:rPr>
          <w:rFonts w:hint="eastAsia" w:ascii="仿宋" w:hAnsi="仿宋" w:eastAsia="仿宋"/>
          <w:bCs/>
          <w:sz w:val="24"/>
          <w:szCs w:val="24"/>
        </w:rPr>
        <w:t>5.在危险废物转移前，甲方必须持有加盖单位公章的有效的危险废物转移联单手续。</w:t>
      </w:r>
    </w:p>
    <w:p w14:paraId="0443FEB3">
      <w:pPr>
        <w:spacing w:line="400" w:lineRule="exact"/>
        <w:ind w:firstLine="480" w:firstLineChars="200"/>
        <w:rPr>
          <w:rFonts w:ascii="仿宋" w:hAnsi="仿宋" w:eastAsia="仿宋"/>
          <w:bCs/>
          <w:sz w:val="24"/>
          <w:szCs w:val="24"/>
        </w:rPr>
      </w:pPr>
      <w:r>
        <w:rPr>
          <w:rFonts w:hint="eastAsia" w:ascii="仿宋" w:hAnsi="仿宋" w:eastAsia="仿宋"/>
          <w:bCs/>
          <w:sz w:val="24"/>
          <w:szCs w:val="24"/>
        </w:rPr>
        <w:t>6.甲方有责任严格按照国家针对剧毒物品交接、运输、处置等相关法律、法规进行剧毒品处置工作。甲方不得在未告知乙方的条件下将易制毒类化学品、剧毒化学品、放射性物品、爆炸性物品、不明物等高危废物（包括但不限于2015版剧毒化学品目录中涉及到的物品）混入其它危险废物或普通废物中交由乙方处置。</w:t>
      </w:r>
    </w:p>
    <w:p w14:paraId="5E42F7BA">
      <w:pPr>
        <w:spacing w:line="400" w:lineRule="exact"/>
        <w:ind w:firstLine="480" w:firstLineChars="200"/>
        <w:rPr>
          <w:rFonts w:ascii="仿宋" w:hAnsi="仿宋" w:eastAsia="仿宋"/>
          <w:bCs/>
          <w:sz w:val="24"/>
          <w:szCs w:val="24"/>
        </w:rPr>
      </w:pPr>
      <w:r>
        <w:rPr>
          <w:rFonts w:hint="eastAsia" w:ascii="仿宋" w:hAnsi="仿宋" w:eastAsia="仿宋"/>
          <w:bCs/>
          <w:sz w:val="24"/>
          <w:szCs w:val="24"/>
        </w:rPr>
        <w:t>7.甲方完善危险废物包装，满足危险废物的贮存、包装，并且符合国家有关危险废物包装和标识相关规定，技术规范要求和本合同第五条及附件二、三的约定，甲方委托乙方提供包装、清理服务的除外。</w:t>
      </w:r>
    </w:p>
    <w:p w14:paraId="7392FCFD">
      <w:pPr>
        <w:spacing w:line="400" w:lineRule="exact"/>
        <w:ind w:firstLine="560" w:firstLineChars="200"/>
        <w:jc w:val="left"/>
        <w:outlineLvl w:val="0"/>
        <w:rPr>
          <w:rFonts w:ascii="黑体" w:hAnsi="黑体" w:eastAsia="黑体"/>
          <w:bCs/>
          <w:sz w:val="28"/>
          <w:szCs w:val="28"/>
        </w:rPr>
      </w:pPr>
      <w:r>
        <w:rPr>
          <w:rFonts w:hint="eastAsia" w:ascii="黑体" w:hAnsi="黑体" w:eastAsia="黑体"/>
          <w:bCs/>
          <w:sz w:val="28"/>
          <w:szCs w:val="28"/>
        </w:rPr>
        <w:t xml:space="preserve">第九条 </w:t>
      </w:r>
      <w:r>
        <w:rPr>
          <w:rFonts w:hint="eastAsia" w:ascii="黑体" w:hAnsi="黑体" w:eastAsia="黑体"/>
          <w:bCs/>
          <w:sz w:val="28"/>
          <w:szCs w:val="28"/>
          <w:lang w:val="en-US" w:eastAsia="zh-CN"/>
        </w:rPr>
        <w:t xml:space="preserve"> </w:t>
      </w:r>
      <w:r>
        <w:rPr>
          <w:rFonts w:hint="eastAsia" w:ascii="黑体" w:hAnsi="黑体" w:eastAsia="黑体"/>
          <w:bCs/>
          <w:sz w:val="28"/>
          <w:szCs w:val="28"/>
        </w:rPr>
        <w:t>验收</w:t>
      </w:r>
    </w:p>
    <w:p w14:paraId="317F0B3D">
      <w:pPr>
        <w:spacing w:line="400" w:lineRule="exact"/>
        <w:ind w:firstLine="480" w:firstLineChars="200"/>
        <w:rPr>
          <w:rFonts w:ascii="黑体" w:hAnsi="黑体" w:eastAsia="黑体"/>
          <w:bCs/>
          <w:sz w:val="24"/>
          <w:szCs w:val="24"/>
        </w:rPr>
      </w:pPr>
      <w:r>
        <w:rPr>
          <w:rFonts w:hint="eastAsia" w:ascii="仿宋" w:hAnsi="仿宋" w:eastAsia="仿宋"/>
          <w:sz w:val="24"/>
          <w:szCs w:val="24"/>
        </w:rPr>
        <w:t>甲方危险废物转移至乙方后，甲乙双方对乙方服务成果进行验收；甲方危废进入乙方处置场所后，视为得到处置。</w:t>
      </w:r>
    </w:p>
    <w:p w14:paraId="37F6AEC7">
      <w:pPr>
        <w:spacing w:line="400" w:lineRule="exact"/>
        <w:ind w:firstLine="560" w:firstLineChars="200"/>
        <w:jc w:val="left"/>
        <w:outlineLvl w:val="0"/>
        <w:rPr>
          <w:rFonts w:ascii="黑体" w:hAnsi="黑体" w:eastAsia="黑体"/>
          <w:bCs/>
          <w:sz w:val="28"/>
          <w:szCs w:val="28"/>
        </w:rPr>
      </w:pPr>
      <w:r>
        <w:rPr>
          <w:rFonts w:hint="eastAsia" w:ascii="黑体" w:hAnsi="黑体" w:eastAsia="黑体"/>
          <w:bCs/>
          <w:sz w:val="28"/>
          <w:szCs w:val="28"/>
        </w:rPr>
        <w:t>第十条  违约责任</w:t>
      </w:r>
    </w:p>
    <w:p w14:paraId="186C8CA3">
      <w:pPr>
        <w:spacing w:line="400" w:lineRule="exact"/>
        <w:ind w:firstLine="480" w:firstLineChars="200"/>
        <w:rPr>
          <w:rFonts w:ascii="仿宋" w:hAnsi="仿宋" w:eastAsia="仿宋"/>
          <w:sz w:val="24"/>
          <w:szCs w:val="24"/>
        </w:rPr>
      </w:pPr>
      <w:r>
        <w:rPr>
          <w:rFonts w:hint="eastAsia" w:ascii="楷体" w:hAnsi="楷体" w:eastAsia="楷体" w:cs="楷体"/>
          <w:bCs/>
          <w:sz w:val="24"/>
          <w:szCs w:val="24"/>
        </w:rPr>
        <w:t>（一）</w:t>
      </w:r>
      <w:r>
        <w:rPr>
          <w:rFonts w:hint="eastAsia" w:ascii="仿宋" w:hAnsi="仿宋" w:eastAsia="仿宋"/>
          <w:sz w:val="24"/>
          <w:szCs w:val="24"/>
        </w:rPr>
        <w:t>合同双方中任何一方违反本合同的约定，守约方有权要求违约方继续履约，并承担相应违约责任。若造成守约方经济损失，守约方有权向违约方索赔。</w:t>
      </w:r>
    </w:p>
    <w:p w14:paraId="15D75BB5">
      <w:pPr>
        <w:spacing w:line="400" w:lineRule="exact"/>
        <w:ind w:firstLine="480" w:firstLineChars="200"/>
        <w:rPr>
          <w:rFonts w:ascii="仿宋" w:hAnsi="仿宋" w:eastAsia="仿宋"/>
          <w:sz w:val="24"/>
          <w:szCs w:val="24"/>
        </w:rPr>
      </w:pPr>
      <w:r>
        <w:rPr>
          <w:rFonts w:hint="eastAsia" w:ascii="楷体" w:hAnsi="楷体" w:eastAsia="楷体" w:cs="楷体"/>
          <w:bCs/>
          <w:sz w:val="24"/>
          <w:szCs w:val="24"/>
        </w:rPr>
        <w:t>（二）</w:t>
      </w:r>
      <w:r>
        <w:rPr>
          <w:rFonts w:hint="eastAsia" w:ascii="仿宋" w:hAnsi="仿宋" w:eastAsia="仿宋"/>
          <w:sz w:val="24"/>
          <w:szCs w:val="24"/>
        </w:rPr>
        <w:t>甲方未将乙方作为唯一处置服务商的，甲方不享受乙方的危废服务的优先权，乙方不确保甲方的处置量。</w:t>
      </w:r>
    </w:p>
    <w:p w14:paraId="02FD09E5">
      <w:pPr>
        <w:spacing w:line="400" w:lineRule="exact"/>
        <w:ind w:firstLine="480" w:firstLineChars="200"/>
        <w:rPr>
          <w:rFonts w:ascii="仿宋" w:hAnsi="仿宋" w:eastAsia="仿宋"/>
          <w:sz w:val="24"/>
          <w:szCs w:val="24"/>
        </w:rPr>
      </w:pPr>
      <w:r>
        <w:rPr>
          <w:rFonts w:hint="eastAsia" w:ascii="楷体" w:hAnsi="楷体" w:eastAsia="楷体" w:cs="楷体"/>
          <w:bCs/>
          <w:sz w:val="24"/>
          <w:szCs w:val="24"/>
        </w:rPr>
        <w:t>（三）</w:t>
      </w:r>
      <w:r>
        <w:rPr>
          <w:rFonts w:hint="eastAsia" w:ascii="仿宋" w:hAnsi="仿宋" w:eastAsia="仿宋"/>
          <w:sz w:val="24"/>
          <w:szCs w:val="24"/>
        </w:rPr>
        <w:t>甲方违反本合同第五、八条约定导致不能转运，应当赔偿乙方车辆放空费用2000元/车次。</w:t>
      </w:r>
    </w:p>
    <w:p w14:paraId="30820E2A">
      <w:pPr>
        <w:spacing w:line="400" w:lineRule="exact"/>
        <w:ind w:firstLine="480" w:firstLineChars="200"/>
        <w:rPr>
          <w:rFonts w:ascii="仿宋" w:hAnsi="仿宋" w:eastAsia="仿宋"/>
          <w:sz w:val="24"/>
          <w:szCs w:val="24"/>
        </w:rPr>
      </w:pPr>
      <w:r>
        <w:rPr>
          <w:rFonts w:hint="eastAsia" w:ascii="楷体" w:hAnsi="楷体" w:eastAsia="楷体" w:cs="楷体"/>
          <w:bCs/>
          <w:sz w:val="24"/>
          <w:szCs w:val="24"/>
        </w:rPr>
        <w:t>（四）</w:t>
      </w:r>
      <w:r>
        <w:rPr>
          <w:rFonts w:hint="eastAsia" w:ascii="仿宋" w:hAnsi="仿宋" w:eastAsia="仿宋"/>
          <w:sz w:val="24"/>
          <w:szCs w:val="24"/>
        </w:rPr>
        <w:t>甲方因违反本合同第八条约定，未如实告知乙方真实信息或欺瞒乙方的，由此在乙方运输和处置废物过程中造成安全、环保事故的，甲方应承担相应的安全法律责任和乙方的经济损失。</w:t>
      </w:r>
    </w:p>
    <w:p w14:paraId="154F2DBC">
      <w:pPr>
        <w:spacing w:line="400" w:lineRule="exact"/>
        <w:ind w:firstLine="480" w:firstLineChars="200"/>
        <w:rPr>
          <w:rFonts w:ascii="仿宋" w:hAnsi="仿宋" w:eastAsia="仿宋"/>
          <w:sz w:val="24"/>
          <w:szCs w:val="24"/>
        </w:rPr>
      </w:pPr>
      <w:r>
        <w:rPr>
          <w:rFonts w:hint="eastAsia" w:ascii="楷体" w:hAnsi="楷体" w:eastAsia="楷体" w:cs="楷体"/>
          <w:bCs/>
          <w:sz w:val="24"/>
          <w:szCs w:val="24"/>
        </w:rPr>
        <w:t>（五）</w:t>
      </w:r>
      <w:r>
        <w:rPr>
          <w:rFonts w:hint="eastAsia" w:ascii="仿宋" w:hAnsi="仿宋" w:eastAsia="仿宋"/>
          <w:sz w:val="24"/>
          <w:szCs w:val="24"/>
        </w:rPr>
        <w:t>甲方不得在乙方接收的废物中夹带在合同、转运联单约定范围外的其他危险废物，如有发现与合同范围、转运联单内容不相符的危险废物，乙方拒绝收运，已收运的退还甲方；甲方需承担相应产生的运输装卸费等相应的直接及间接经济损失和运输过程中的安全、环保责任。</w:t>
      </w:r>
    </w:p>
    <w:p w14:paraId="582E9F28">
      <w:pPr>
        <w:spacing w:line="400" w:lineRule="exact"/>
        <w:ind w:firstLine="480" w:firstLineChars="200"/>
        <w:rPr>
          <w:rFonts w:ascii="仿宋" w:hAnsi="仿宋" w:eastAsia="仿宋"/>
          <w:bCs/>
          <w:sz w:val="24"/>
          <w:szCs w:val="24"/>
        </w:rPr>
      </w:pPr>
      <w:r>
        <w:rPr>
          <w:rFonts w:hint="eastAsia" w:ascii="楷体" w:hAnsi="楷体" w:eastAsia="楷体" w:cs="楷体"/>
          <w:bCs/>
          <w:sz w:val="24"/>
          <w:szCs w:val="24"/>
        </w:rPr>
        <w:t>（六）</w:t>
      </w:r>
      <w:r>
        <w:rPr>
          <w:rFonts w:hint="eastAsia" w:ascii="仿宋" w:hAnsi="仿宋" w:eastAsia="仿宋"/>
          <w:bCs/>
          <w:sz w:val="24"/>
          <w:szCs w:val="24"/>
        </w:rPr>
        <w:t>甲方保证提供给乙方的危险废物不混有放射性物质；若危险废物中含有放射性物质的，乙方有权拒绝接收该批次危险废弃物，放射性物质由甲方或有关部门委托专业机构收集处置，甲方承担全部费用和全部责任；若因混有放射性物质的危险废物（含放射性物质）致乙方在运输和处置过程中引起的安全、环保事故，造成环境污染或至乙方及第三人财产损失和人员人身损害的，甲方须承担全部责任。</w:t>
      </w:r>
    </w:p>
    <w:p w14:paraId="4E0B08F1">
      <w:pPr>
        <w:spacing w:line="400" w:lineRule="exact"/>
        <w:ind w:firstLine="480" w:firstLineChars="200"/>
        <w:rPr>
          <w:rFonts w:ascii="仿宋" w:hAnsi="仿宋" w:eastAsia="仿宋"/>
          <w:sz w:val="24"/>
          <w:szCs w:val="24"/>
        </w:rPr>
      </w:pPr>
      <w:r>
        <w:rPr>
          <w:rFonts w:hint="eastAsia" w:ascii="楷体" w:hAnsi="楷体" w:eastAsia="楷体" w:cs="楷体"/>
          <w:bCs/>
          <w:sz w:val="24"/>
          <w:szCs w:val="24"/>
        </w:rPr>
        <w:t>（七）</w:t>
      </w:r>
      <w:r>
        <w:rPr>
          <w:rFonts w:hint="eastAsia" w:ascii="仿宋" w:hAnsi="仿宋" w:eastAsia="仿宋"/>
          <w:sz w:val="24"/>
          <w:szCs w:val="24"/>
        </w:rPr>
        <w:t>甲方未按时给付服务费用，每逾期一日按应付服务费用的</w:t>
      </w:r>
      <w:r>
        <w:rPr>
          <w:rFonts w:hint="eastAsia" w:ascii="仿宋" w:hAnsi="仿宋" w:eastAsia="仿宋"/>
          <w:sz w:val="24"/>
          <w:szCs w:val="24"/>
          <w:u w:val="single"/>
        </w:rPr>
        <w:t>1‰</w:t>
      </w:r>
      <w:r>
        <w:rPr>
          <w:rFonts w:hint="eastAsia" w:ascii="仿宋" w:hAnsi="仿宋" w:eastAsia="仿宋"/>
          <w:sz w:val="24"/>
          <w:szCs w:val="24"/>
        </w:rPr>
        <w:t>支付逾期付款违约金，且乙方可停止收处甲方危废。</w:t>
      </w:r>
    </w:p>
    <w:p w14:paraId="09BDF614">
      <w:pPr>
        <w:spacing w:line="400" w:lineRule="exact"/>
        <w:ind w:firstLine="480" w:firstLineChars="200"/>
        <w:rPr>
          <w:rFonts w:ascii="仿宋" w:hAnsi="仿宋" w:eastAsia="仿宋"/>
          <w:sz w:val="24"/>
          <w:szCs w:val="24"/>
        </w:rPr>
      </w:pPr>
      <w:r>
        <w:rPr>
          <w:rFonts w:hint="eastAsia" w:ascii="楷体" w:hAnsi="楷体" w:eastAsia="楷体" w:cs="楷体"/>
          <w:bCs/>
          <w:sz w:val="24"/>
          <w:szCs w:val="24"/>
        </w:rPr>
        <w:t>（八）</w:t>
      </w:r>
      <w:r>
        <w:rPr>
          <w:rFonts w:hint="eastAsia" w:ascii="仿宋" w:hAnsi="仿宋" w:eastAsia="仿宋"/>
          <w:sz w:val="24"/>
          <w:szCs w:val="24"/>
        </w:rPr>
        <w:t>乙方未按时收运，每逾期一日按未收运废物重量对应服务费用的</w:t>
      </w:r>
      <w:r>
        <w:rPr>
          <w:rFonts w:hint="eastAsia" w:ascii="仿宋" w:hAnsi="仿宋" w:eastAsia="仿宋"/>
          <w:sz w:val="24"/>
          <w:szCs w:val="24"/>
          <w:u w:val="single"/>
        </w:rPr>
        <w:t>1‰</w:t>
      </w:r>
      <w:r>
        <w:rPr>
          <w:rFonts w:hint="eastAsia" w:ascii="仿宋" w:hAnsi="仿宋" w:eastAsia="仿宋"/>
          <w:sz w:val="24"/>
          <w:szCs w:val="24"/>
        </w:rPr>
        <w:t>支付逾期违约金。</w:t>
      </w:r>
    </w:p>
    <w:p w14:paraId="149B0BCE">
      <w:pPr>
        <w:spacing w:line="400" w:lineRule="exact"/>
        <w:ind w:firstLine="480" w:firstLineChars="200"/>
        <w:rPr>
          <w:rFonts w:ascii="仿宋" w:hAnsi="仿宋" w:eastAsia="仿宋"/>
          <w:sz w:val="24"/>
          <w:szCs w:val="24"/>
        </w:rPr>
      </w:pPr>
      <w:r>
        <w:rPr>
          <w:rFonts w:hint="eastAsia" w:ascii="楷体" w:hAnsi="楷体" w:eastAsia="楷体" w:cs="楷体"/>
          <w:bCs/>
          <w:sz w:val="24"/>
          <w:szCs w:val="24"/>
        </w:rPr>
        <w:t>（九）</w:t>
      </w:r>
      <w:r>
        <w:rPr>
          <w:rFonts w:hint="eastAsia" w:ascii="仿宋" w:hAnsi="仿宋" w:eastAsia="仿宋"/>
          <w:sz w:val="24"/>
          <w:szCs w:val="24"/>
        </w:rPr>
        <w:t>乙方为甲方唯一处置服务商的，未经乙方同意，甲方擅自委托他人处置危废；甲方委托乙方实际处置量小于合同预计委托处置量50%以上的；甲方擅自解除合同或实际未委托乙方处置危废；或存在本条上述1-7款情形之一的；乙方可优先以甲方定金受偿。甲方未缴纳定金或定金不足的，乙方得以甲方其他资产受偿。</w:t>
      </w:r>
    </w:p>
    <w:p w14:paraId="7FA31B54">
      <w:pPr>
        <w:spacing w:line="400" w:lineRule="exact"/>
        <w:ind w:firstLine="480" w:firstLineChars="200"/>
        <w:rPr>
          <w:rFonts w:ascii="仿宋" w:hAnsi="仿宋" w:eastAsia="仿宋"/>
          <w:sz w:val="24"/>
          <w:szCs w:val="24"/>
        </w:rPr>
      </w:pPr>
      <w:r>
        <w:rPr>
          <w:rFonts w:hint="eastAsia" w:ascii="楷体" w:hAnsi="楷体" w:eastAsia="楷体" w:cs="楷体"/>
          <w:bCs/>
          <w:sz w:val="24"/>
          <w:szCs w:val="24"/>
        </w:rPr>
        <w:t>（十）</w:t>
      </w:r>
      <w:r>
        <w:rPr>
          <w:rFonts w:hint="eastAsia" w:ascii="仿宋" w:hAnsi="仿宋" w:eastAsia="仿宋"/>
          <w:sz w:val="24"/>
          <w:szCs w:val="24"/>
        </w:rPr>
        <w:t>因甲方未达到本合同第五、八条约定条件，乙方对甲方的危废可拒绝收运处置。</w:t>
      </w:r>
    </w:p>
    <w:p w14:paraId="2E7C9033">
      <w:pPr>
        <w:spacing w:line="400" w:lineRule="exact"/>
        <w:ind w:firstLine="480" w:firstLineChars="200"/>
        <w:rPr>
          <w:rFonts w:ascii="仿宋" w:hAnsi="仿宋" w:eastAsia="仿宋"/>
          <w:sz w:val="24"/>
          <w:szCs w:val="24"/>
        </w:rPr>
      </w:pPr>
      <w:r>
        <w:rPr>
          <w:rFonts w:hint="eastAsia" w:ascii="楷体" w:hAnsi="楷体" w:eastAsia="楷体" w:cs="楷体"/>
          <w:bCs/>
          <w:sz w:val="24"/>
          <w:szCs w:val="24"/>
        </w:rPr>
        <w:t>（十一）</w:t>
      </w:r>
      <w:r>
        <w:rPr>
          <w:rFonts w:hint="eastAsia" w:ascii="仿宋" w:hAnsi="仿宋" w:eastAsia="仿宋"/>
          <w:sz w:val="24"/>
          <w:szCs w:val="24"/>
        </w:rPr>
        <w:t>本合同执行期间，如遇不可抗力因素（如战争、地震、洪灾、强降雨、地质灾害、职能部门政策变更、政府管制等），致使合同无法履行时，甲、乙双方均不承担违约责任，并按有关法规政策及时协商处理。</w:t>
      </w:r>
    </w:p>
    <w:p w14:paraId="1EAD66E6">
      <w:pPr>
        <w:spacing w:line="400" w:lineRule="exact"/>
        <w:ind w:firstLine="480" w:firstLineChars="200"/>
        <w:rPr>
          <w:rFonts w:ascii="仿宋" w:hAnsi="仿宋" w:eastAsia="仿宋"/>
          <w:sz w:val="24"/>
          <w:szCs w:val="24"/>
        </w:rPr>
      </w:pPr>
      <w:r>
        <w:rPr>
          <w:rFonts w:hint="eastAsia" w:ascii="楷体" w:hAnsi="楷体" w:eastAsia="楷体" w:cs="楷体"/>
          <w:bCs/>
          <w:sz w:val="24"/>
          <w:szCs w:val="24"/>
        </w:rPr>
        <w:t>（十二）</w:t>
      </w:r>
      <w:r>
        <w:rPr>
          <w:rFonts w:hint="eastAsia" w:ascii="仿宋" w:hAnsi="仿宋" w:eastAsia="仿宋"/>
          <w:sz w:val="24"/>
          <w:szCs w:val="24"/>
        </w:rPr>
        <w:t>因乙方处置量已达到或即将达到环保部门核定处置量的，乙方未对甲方危废进行收运处置的，不属于本合同约定的违约情况，不承担违约责任。</w:t>
      </w:r>
    </w:p>
    <w:p w14:paraId="7523CB3F">
      <w:pPr>
        <w:spacing w:line="400" w:lineRule="exact"/>
        <w:ind w:firstLine="480" w:firstLineChars="200"/>
        <w:rPr>
          <w:rFonts w:ascii="黑体" w:hAnsi="黑体" w:eastAsia="黑体"/>
          <w:bCs/>
          <w:sz w:val="28"/>
          <w:szCs w:val="28"/>
        </w:rPr>
      </w:pPr>
      <w:r>
        <w:rPr>
          <w:rFonts w:hint="eastAsia" w:ascii="楷体" w:hAnsi="楷体" w:eastAsia="楷体" w:cs="楷体"/>
          <w:bCs/>
          <w:sz w:val="24"/>
          <w:szCs w:val="24"/>
        </w:rPr>
        <w:t>（十三）</w:t>
      </w:r>
      <w:r>
        <w:rPr>
          <w:rFonts w:hint="eastAsia" w:ascii="仿宋" w:hAnsi="仿宋" w:eastAsia="仿宋"/>
          <w:sz w:val="24"/>
          <w:szCs w:val="24"/>
        </w:rPr>
        <w:t>非</w:t>
      </w:r>
      <w:r>
        <w:rPr>
          <w:rFonts w:ascii="仿宋" w:hAnsi="仿宋" w:eastAsia="仿宋"/>
          <w:sz w:val="24"/>
          <w:szCs w:val="24"/>
        </w:rPr>
        <w:t>因乙方</w:t>
      </w:r>
      <w:r>
        <w:rPr>
          <w:rFonts w:hint="eastAsia" w:ascii="仿宋" w:hAnsi="仿宋" w:eastAsia="仿宋"/>
          <w:sz w:val="24"/>
          <w:szCs w:val="24"/>
        </w:rPr>
        <w:t>（含乙方委托的第三人）</w:t>
      </w:r>
      <w:r>
        <w:rPr>
          <w:rFonts w:ascii="仿宋" w:hAnsi="仿宋" w:eastAsia="仿宋"/>
          <w:sz w:val="24"/>
          <w:szCs w:val="24"/>
        </w:rPr>
        <w:t>原因，乙方未收处</w:t>
      </w:r>
      <w:r>
        <w:rPr>
          <w:rFonts w:hint="eastAsia" w:ascii="仿宋" w:hAnsi="仿宋" w:eastAsia="仿宋"/>
          <w:sz w:val="24"/>
          <w:szCs w:val="24"/>
        </w:rPr>
        <w:t>或未及时收处</w:t>
      </w:r>
      <w:r>
        <w:rPr>
          <w:rFonts w:ascii="仿宋" w:hAnsi="仿宋" w:eastAsia="仿宋"/>
          <w:sz w:val="24"/>
          <w:szCs w:val="24"/>
        </w:rPr>
        <w:t>甲方危险废物的，不属于本合同约定的违约情况，不承担违约责任。</w:t>
      </w:r>
      <w:r>
        <w:rPr>
          <w:rFonts w:ascii="宋体" w:hAnsi="宋体" w:cs="宋体"/>
          <w:sz w:val="22"/>
          <w:szCs w:val="22"/>
        </w:rPr>
        <w:t xml:space="preserve"> </w:t>
      </w:r>
    </w:p>
    <w:p w14:paraId="318CAE7F">
      <w:pPr>
        <w:spacing w:line="400" w:lineRule="exact"/>
        <w:ind w:firstLine="560" w:firstLineChars="200"/>
        <w:jc w:val="left"/>
        <w:outlineLvl w:val="0"/>
        <w:rPr>
          <w:rFonts w:ascii="黑体" w:hAnsi="黑体" w:eastAsia="黑体"/>
          <w:bCs/>
          <w:sz w:val="28"/>
          <w:szCs w:val="28"/>
        </w:rPr>
      </w:pPr>
      <w:r>
        <w:rPr>
          <w:rFonts w:hint="eastAsia" w:ascii="黑体" w:hAnsi="黑体" w:eastAsia="黑体"/>
          <w:bCs/>
          <w:sz w:val="28"/>
          <w:szCs w:val="28"/>
        </w:rPr>
        <w:t>第十一条  保密及知识产权归属</w:t>
      </w:r>
    </w:p>
    <w:p w14:paraId="3B0C834C">
      <w:pPr>
        <w:spacing w:line="400" w:lineRule="exact"/>
        <w:ind w:firstLine="480" w:firstLineChars="200"/>
        <w:rPr>
          <w:rFonts w:ascii="仿宋" w:hAnsi="仿宋" w:eastAsia="仿宋"/>
          <w:bCs/>
          <w:sz w:val="24"/>
          <w:szCs w:val="24"/>
        </w:rPr>
      </w:pPr>
      <w:r>
        <w:rPr>
          <w:rFonts w:hint="eastAsia" w:ascii="仿宋" w:hAnsi="仿宋" w:eastAsia="仿宋"/>
          <w:bCs/>
          <w:sz w:val="24"/>
          <w:szCs w:val="24"/>
        </w:rPr>
        <w:t>合同协商、订立、履行期间，双方对所获得的对方</w:t>
      </w:r>
      <w:r>
        <w:rPr>
          <w:rFonts w:hint="eastAsia" w:ascii="仿宋" w:hAnsi="仿宋" w:eastAsia="仿宋"/>
          <w:sz w:val="24"/>
          <w:szCs w:val="24"/>
        </w:rPr>
        <w:t>任何资料、信息数据等文件</w:t>
      </w:r>
      <w:r>
        <w:rPr>
          <w:rFonts w:hint="eastAsia" w:ascii="仿宋" w:hAnsi="仿宋" w:eastAsia="仿宋"/>
          <w:bCs/>
          <w:sz w:val="24"/>
          <w:szCs w:val="24"/>
        </w:rPr>
        <w:t>均负有保密义务。未经一方书面同意，另一方不得向任何第三人披露。双方的保密义务自获悉对方信息之日起直至相应的对方信息被依法披露为公开信息时止。</w:t>
      </w:r>
    </w:p>
    <w:p w14:paraId="6EAC3396">
      <w:pPr>
        <w:spacing w:line="400" w:lineRule="exact"/>
        <w:ind w:firstLine="480" w:firstLineChars="200"/>
        <w:rPr>
          <w:rFonts w:ascii="黑体" w:hAnsi="黑体" w:eastAsia="黑体"/>
          <w:bCs/>
          <w:sz w:val="28"/>
          <w:szCs w:val="28"/>
        </w:rPr>
      </w:pPr>
      <w:r>
        <w:rPr>
          <w:rFonts w:hint="eastAsia" w:ascii="仿宋" w:hAnsi="仿宋" w:eastAsia="仿宋"/>
          <w:bCs/>
          <w:sz w:val="24"/>
          <w:szCs w:val="24"/>
        </w:rPr>
        <w:t>本合同有效期内，乙方利用甲方提供的技术资料和工作条件所完成的新的技术成果，归乙方所有。</w:t>
      </w:r>
    </w:p>
    <w:p w14:paraId="7CA47B75">
      <w:pPr>
        <w:numPr>
          <w:ilvl w:val="0"/>
          <w:numId w:val="6"/>
        </w:numPr>
        <w:spacing w:line="400" w:lineRule="exact"/>
        <w:ind w:firstLine="560" w:firstLineChars="200"/>
        <w:jc w:val="left"/>
        <w:outlineLvl w:val="0"/>
        <w:rPr>
          <w:rFonts w:ascii="黑体" w:hAnsi="黑体" w:eastAsia="黑体"/>
          <w:bCs/>
          <w:sz w:val="28"/>
          <w:szCs w:val="28"/>
        </w:rPr>
      </w:pPr>
      <w:r>
        <w:rPr>
          <w:rFonts w:hint="eastAsia" w:ascii="黑体" w:hAnsi="黑体" w:eastAsia="黑体"/>
          <w:bCs/>
          <w:sz w:val="28"/>
          <w:szCs w:val="28"/>
        </w:rPr>
        <w:t xml:space="preserve"> 联络</w:t>
      </w:r>
    </w:p>
    <w:p w14:paraId="45755662">
      <w:pPr>
        <w:spacing w:line="400" w:lineRule="exact"/>
        <w:ind w:firstLine="560" w:firstLineChars="200"/>
        <w:jc w:val="left"/>
        <w:outlineLvl w:val="0"/>
        <w:rPr>
          <w:rFonts w:ascii="楷体" w:hAnsi="楷体" w:eastAsia="楷体" w:cs="楷体"/>
          <w:bCs/>
          <w:sz w:val="28"/>
          <w:szCs w:val="28"/>
        </w:rPr>
      </w:pPr>
      <w:r>
        <w:rPr>
          <w:rFonts w:hint="eastAsia" w:ascii="楷体" w:hAnsi="楷体" w:eastAsia="楷体" w:cs="楷体"/>
          <w:bCs/>
          <w:sz w:val="28"/>
          <w:szCs w:val="28"/>
        </w:rPr>
        <w:t>（一）联系人</w:t>
      </w:r>
    </w:p>
    <w:p w14:paraId="65A4FB04">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本合同有效期内，甲方指定</w:t>
      </w:r>
      <w:r>
        <w:rPr>
          <w:rFonts w:hint="eastAsia" w:ascii="仿宋" w:hAnsi="仿宋" w:eastAsia="仿宋" w:cs="宋体"/>
          <w:sz w:val="28"/>
          <w:szCs w:val="28"/>
          <w:u w:val="single"/>
          <w:lang w:val="en-US" w:eastAsia="zh-CN"/>
        </w:rPr>
        <w:t xml:space="preserve">      </w:t>
      </w:r>
      <w:r>
        <w:rPr>
          <w:rFonts w:hint="eastAsia" w:ascii="仿宋" w:hAnsi="仿宋" w:eastAsia="仿宋"/>
          <w:sz w:val="24"/>
          <w:szCs w:val="24"/>
        </w:rPr>
        <w:t>，职务</w:t>
      </w:r>
      <w:r>
        <w:rPr>
          <w:rFonts w:hint="eastAsia" w:ascii="仿宋" w:hAnsi="仿宋" w:eastAsia="仿宋"/>
          <w:sz w:val="24"/>
          <w:szCs w:val="24"/>
          <w:u w:val="single"/>
          <w:lang w:val="en-US" w:eastAsia="zh-CN"/>
        </w:rPr>
        <w:t xml:space="preserve">/   </w:t>
      </w:r>
      <w:r>
        <w:rPr>
          <w:rFonts w:hint="eastAsia" w:ascii="仿宋" w:hAnsi="仿宋" w:eastAsia="仿宋"/>
          <w:sz w:val="24"/>
          <w:szCs w:val="24"/>
        </w:rPr>
        <w:t>（联系电话：</w:t>
      </w:r>
      <w:r>
        <w:rPr>
          <w:rFonts w:hint="eastAsia" w:ascii="仿宋" w:hAnsi="仿宋" w:eastAsia="仿宋"/>
          <w:sz w:val="24"/>
          <w:szCs w:val="24"/>
          <w:u w:val="single"/>
          <w:lang w:val="en-US" w:eastAsia="zh-CN"/>
        </w:rPr>
        <w:t xml:space="preserve">    </w:t>
      </w:r>
      <w:r>
        <w:rPr>
          <w:rFonts w:hint="eastAsia" w:ascii="仿宋" w:hAnsi="仿宋" w:eastAsia="仿宋"/>
          <w:sz w:val="24"/>
          <w:szCs w:val="24"/>
        </w:rPr>
        <w:t>）为甲方联系人；乙方指定</w:t>
      </w:r>
      <w:r>
        <w:rPr>
          <w:rFonts w:hint="eastAsia" w:ascii="仿宋" w:hAnsi="仿宋" w:eastAsia="仿宋" w:cs="宋体"/>
          <w:sz w:val="28"/>
          <w:szCs w:val="28"/>
          <w:u w:val="single"/>
          <w:lang w:val="en-US" w:eastAsia="zh-CN"/>
        </w:rPr>
        <w:t xml:space="preserve">      </w:t>
      </w:r>
      <w:r>
        <w:rPr>
          <w:rFonts w:hint="eastAsia" w:ascii="仿宋" w:hAnsi="仿宋" w:eastAsia="仿宋"/>
          <w:sz w:val="24"/>
          <w:szCs w:val="24"/>
        </w:rPr>
        <w:t>，职务</w:t>
      </w:r>
      <w:r>
        <w:rPr>
          <w:rFonts w:hint="eastAsia" w:ascii="仿宋" w:hAnsi="仿宋" w:eastAsia="仿宋" w:cs="宋体"/>
          <w:sz w:val="28"/>
          <w:szCs w:val="28"/>
          <w:u w:val="single"/>
          <w:lang w:val="en-US" w:eastAsia="zh-CN"/>
        </w:rPr>
        <w:t xml:space="preserve">      </w:t>
      </w:r>
      <w:r>
        <w:rPr>
          <w:rFonts w:hint="eastAsia" w:ascii="仿宋" w:hAnsi="仿宋" w:eastAsia="仿宋"/>
          <w:sz w:val="24"/>
          <w:szCs w:val="24"/>
        </w:rPr>
        <w:t>（联系电话：</w:t>
      </w:r>
      <w:r>
        <w:rPr>
          <w:rFonts w:hint="eastAsia" w:ascii="仿宋" w:hAnsi="仿宋" w:eastAsia="仿宋" w:cs="宋体"/>
          <w:sz w:val="28"/>
          <w:szCs w:val="28"/>
          <w:u w:val="single"/>
          <w:lang w:val="en-US" w:eastAsia="zh-CN"/>
        </w:rPr>
        <w:t xml:space="preserve">      </w:t>
      </w:r>
      <w:r>
        <w:rPr>
          <w:rFonts w:hint="eastAsia" w:ascii="仿宋" w:hAnsi="仿宋" w:eastAsia="仿宋"/>
          <w:sz w:val="24"/>
          <w:szCs w:val="24"/>
        </w:rPr>
        <w:t>）为乙方联系人。</w:t>
      </w:r>
    </w:p>
    <w:p w14:paraId="0C0C5EED">
      <w:pPr>
        <w:spacing w:line="400" w:lineRule="exact"/>
        <w:ind w:firstLine="480" w:firstLineChars="200"/>
        <w:rPr>
          <w:rFonts w:ascii="仿宋" w:hAnsi="仿宋" w:eastAsia="仿宋"/>
          <w:sz w:val="24"/>
          <w:szCs w:val="24"/>
        </w:rPr>
      </w:pPr>
      <w:r>
        <w:rPr>
          <w:rFonts w:hint="eastAsia" w:ascii="仿宋" w:hAnsi="仿宋" w:eastAsia="仿宋"/>
          <w:sz w:val="24"/>
          <w:szCs w:val="24"/>
        </w:rPr>
        <w:t>联系人承担合同履行期间的信息沟通、函件收寄、事项通知、意思联络事务。一方变更合同联系人的，应当及时以书面形式通知另一方。未及时通知并影响本合同履行或造成损失的，应承担相应的责任。</w:t>
      </w:r>
    </w:p>
    <w:p w14:paraId="0745BA3E">
      <w:pPr>
        <w:spacing w:line="400" w:lineRule="exact"/>
        <w:ind w:firstLine="560" w:firstLineChars="200"/>
        <w:rPr>
          <w:rFonts w:ascii="楷体" w:hAnsi="楷体" w:eastAsia="楷体" w:cs="楷体"/>
          <w:sz w:val="28"/>
          <w:szCs w:val="28"/>
        </w:rPr>
      </w:pPr>
      <w:r>
        <w:rPr>
          <w:rFonts w:hint="eastAsia" w:ascii="楷体" w:hAnsi="楷体" w:eastAsia="楷体" w:cs="楷体"/>
          <w:sz w:val="28"/>
          <w:szCs w:val="28"/>
        </w:rPr>
        <w:t>（二）通信</w:t>
      </w:r>
    </w:p>
    <w:p w14:paraId="65625B65">
      <w:pPr>
        <w:spacing w:line="400" w:lineRule="exact"/>
        <w:ind w:firstLine="480" w:firstLineChars="200"/>
        <w:rPr>
          <w:rFonts w:hint="eastAsia" w:ascii="仿宋" w:hAnsi="仿宋" w:eastAsia="仿宋"/>
          <w:sz w:val="24"/>
          <w:szCs w:val="24"/>
          <w:u w:val="single"/>
        </w:rPr>
      </w:pPr>
      <w:r>
        <w:rPr>
          <w:rFonts w:hint="eastAsia" w:ascii="仿宋" w:hAnsi="仿宋" w:eastAsia="仿宋"/>
          <w:sz w:val="24"/>
          <w:szCs w:val="24"/>
        </w:rPr>
        <w:t>甲方通信地址：</w:t>
      </w:r>
      <w:r>
        <w:rPr>
          <w:rFonts w:hint="eastAsia" w:ascii="仿宋" w:hAnsi="仿宋" w:eastAsia="仿宋" w:cs="宋体"/>
          <w:sz w:val="28"/>
          <w:szCs w:val="28"/>
          <w:u w:val="single"/>
          <w:lang w:val="en-US" w:eastAsia="zh-CN"/>
        </w:rPr>
        <w:t xml:space="preserve">                   </w:t>
      </w:r>
    </w:p>
    <w:p w14:paraId="616093BA">
      <w:pPr>
        <w:spacing w:line="400" w:lineRule="exact"/>
        <w:ind w:firstLine="480" w:firstLineChars="200"/>
        <w:rPr>
          <w:rFonts w:ascii="黑体" w:hAnsi="黑体" w:eastAsia="黑体"/>
          <w:bCs/>
          <w:sz w:val="24"/>
          <w:szCs w:val="24"/>
        </w:rPr>
      </w:pPr>
      <w:r>
        <w:rPr>
          <w:rFonts w:hint="eastAsia" w:ascii="仿宋" w:hAnsi="仿宋" w:eastAsia="仿宋"/>
          <w:sz w:val="24"/>
          <w:szCs w:val="24"/>
        </w:rPr>
        <w:t>乙方通信地址：</w:t>
      </w:r>
      <w:r>
        <w:rPr>
          <w:rFonts w:hint="eastAsia" w:ascii="仿宋" w:hAnsi="仿宋" w:eastAsia="仿宋"/>
          <w:sz w:val="24"/>
          <w:szCs w:val="24"/>
          <w:u w:val="single"/>
          <w:lang w:val="en-US" w:eastAsia="zh-CN"/>
        </w:rPr>
        <w:t>成都市双流区汉州路969号中交国际中心1903室</w:t>
      </w:r>
    </w:p>
    <w:p w14:paraId="58748BE1">
      <w:pPr>
        <w:numPr>
          <w:ilvl w:val="0"/>
          <w:numId w:val="6"/>
        </w:numPr>
        <w:spacing w:line="400" w:lineRule="exact"/>
        <w:ind w:left="0" w:leftChars="0" w:firstLine="560" w:firstLineChars="200"/>
        <w:jc w:val="left"/>
        <w:outlineLvl w:val="0"/>
        <w:rPr>
          <w:rFonts w:ascii="黑体" w:hAnsi="黑体" w:eastAsia="黑体"/>
          <w:bCs/>
          <w:sz w:val="28"/>
          <w:szCs w:val="28"/>
        </w:rPr>
      </w:pPr>
      <w:r>
        <w:rPr>
          <w:rFonts w:hint="eastAsia" w:ascii="黑体" w:hAnsi="黑体" w:eastAsia="黑体"/>
          <w:bCs/>
          <w:sz w:val="28"/>
          <w:szCs w:val="28"/>
        </w:rPr>
        <w:t>其他</w:t>
      </w:r>
    </w:p>
    <w:p w14:paraId="5D6E5089">
      <w:pPr>
        <w:widowControl/>
        <w:spacing w:line="400" w:lineRule="exact"/>
        <w:ind w:firstLine="480" w:firstLineChars="200"/>
        <w:jc w:val="left"/>
        <w:rPr>
          <w:rFonts w:ascii="仿宋" w:hAnsi="仿宋" w:eastAsia="仿宋" w:cs="仿宋"/>
          <w:bCs/>
          <w:sz w:val="24"/>
          <w:szCs w:val="24"/>
        </w:rPr>
      </w:pPr>
      <w:r>
        <w:rPr>
          <w:rFonts w:hint="eastAsia" w:ascii="楷体" w:hAnsi="楷体" w:eastAsia="楷体" w:cs="楷体"/>
          <w:sz w:val="24"/>
          <w:szCs w:val="24"/>
        </w:rPr>
        <w:t>（一）</w:t>
      </w:r>
      <w:r>
        <w:rPr>
          <w:rFonts w:hint="eastAsia" w:ascii="仿宋" w:hAnsi="仿宋" w:eastAsia="仿宋" w:cs="仿宋"/>
          <w:bCs/>
          <w:sz w:val="24"/>
          <w:szCs w:val="24"/>
        </w:rPr>
        <w:t>本合同一式肆份，甲乙双方各执贰份。</w:t>
      </w:r>
    </w:p>
    <w:p w14:paraId="34C245D4">
      <w:pPr>
        <w:widowControl/>
        <w:spacing w:line="400" w:lineRule="exact"/>
        <w:ind w:firstLine="480" w:firstLineChars="200"/>
        <w:jc w:val="left"/>
        <w:rPr>
          <w:rFonts w:hint="eastAsia" w:ascii="仿宋" w:hAnsi="仿宋" w:eastAsia="仿宋" w:cs="仿宋"/>
          <w:b/>
          <w:bCs/>
          <w:color w:val="FF0000"/>
          <w:sz w:val="24"/>
          <w:szCs w:val="24"/>
        </w:rPr>
      </w:pPr>
      <w:r>
        <w:rPr>
          <w:rFonts w:hint="eastAsia" w:ascii="楷体" w:hAnsi="楷体" w:eastAsia="楷体" w:cs="楷体"/>
          <w:sz w:val="24"/>
          <w:szCs w:val="24"/>
        </w:rPr>
        <w:t>（二）</w:t>
      </w:r>
      <w:r>
        <w:rPr>
          <w:rFonts w:hint="eastAsia" w:ascii="仿宋" w:hAnsi="仿宋" w:eastAsia="仿宋" w:cs="仿宋"/>
          <w:bCs/>
          <w:sz w:val="24"/>
          <w:szCs w:val="24"/>
        </w:rPr>
        <w:t>本合同经甲乙双方法定代表人或委托人签字或加盖印章，并加盖单位公章或合同专用章后</w:t>
      </w:r>
      <w:r>
        <w:rPr>
          <w:rFonts w:hint="eastAsia" w:ascii="仿宋" w:hAnsi="仿宋" w:eastAsia="仿宋" w:cs="仿宋"/>
          <w:bCs/>
          <w:sz w:val="24"/>
          <w:szCs w:val="24"/>
          <w:lang w:val="en-US" w:eastAsia="zh-CN"/>
        </w:rPr>
        <w:t>生效</w:t>
      </w:r>
      <w:r>
        <w:rPr>
          <w:rFonts w:hint="eastAsia" w:ascii="仿宋" w:hAnsi="仿宋" w:eastAsia="仿宋" w:cs="仿宋"/>
          <w:b/>
          <w:bCs/>
          <w:color w:val="FF0000"/>
          <w:sz w:val="24"/>
          <w:szCs w:val="24"/>
        </w:rPr>
        <w:t>。</w:t>
      </w:r>
    </w:p>
    <w:p w14:paraId="1B27877D">
      <w:pPr>
        <w:widowControl/>
        <w:spacing w:line="400" w:lineRule="exact"/>
        <w:ind w:firstLine="480" w:firstLineChars="200"/>
        <w:jc w:val="left"/>
        <w:rPr>
          <w:rFonts w:ascii="仿宋" w:hAnsi="仿宋" w:eastAsia="仿宋" w:cs="仿宋"/>
          <w:bCs/>
          <w:sz w:val="24"/>
          <w:szCs w:val="24"/>
        </w:rPr>
      </w:pPr>
      <w:r>
        <w:rPr>
          <w:rFonts w:hint="eastAsia" w:ascii="楷体" w:hAnsi="楷体" w:eastAsia="楷体" w:cs="楷体"/>
          <w:sz w:val="24"/>
          <w:szCs w:val="24"/>
        </w:rPr>
        <w:t>（三）</w:t>
      </w:r>
      <w:r>
        <w:rPr>
          <w:rFonts w:hint="eastAsia" w:ascii="仿宋" w:hAnsi="仿宋" w:eastAsia="仿宋" w:cs="仿宋"/>
          <w:bCs/>
          <w:sz w:val="24"/>
          <w:szCs w:val="24"/>
        </w:rPr>
        <w:t>本合同之附件均为合同有效组成部分。本合同及其附件的空格部分填写的文字与印刷文字具有同等效力；本合同附件不限于第十</w:t>
      </w:r>
      <w:r>
        <w:rPr>
          <w:rFonts w:hint="eastAsia" w:ascii="仿宋" w:hAnsi="仿宋" w:eastAsia="仿宋" w:cs="仿宋"/>
          <w:bCs/>
          <w:sz w:val="24"/>
          <w:szCs w:val="24"/>
          <w:lang w:val="en-US" w:eastAsia="zh-CN"/>
        </w:rPr>
        <w:t>四</w:t>
      </w:r>
      <w:r>
        <w:rPr>
          <w:rFonts w:hint="eastAsia" w:ascii="仿宋" w:hAnsi="仿宋" w:eastAsia="仿宋" w:cs="仿宋"/>
          <w:bCs/>
          <w:sz w:val="24"/>
          <w:szCs w:val="24"/>
        </w:rPr>
        <w:t>条所列示内容，还包括甲方提供的环评报告、第三方分析检测报告，以及乙方的取样分析化验报告等。</w:t>
      </w:r>
    </w:p>
    <w:p w14:paraId="013F0ECD">
      <w:pPr>
        <w:spacing w:line="400" w:lineRule="exact"/>
        <w:ind w:firstLine="480" w:firstLineChars="200"/>
        <w:rPr>
          <w:rFonts w:ascii="仿宋" w:hAnsi="仿宋" w:eastAsia="仿宋" w:cs="仿宋"/>
          <w:sz w:val="24"/>
          <w:szCs w:val="24"/>
        </w:rPr>
      </w:pPr>
      <w:r>
        <w:rPr>
          <w:rFonts w:hint="eastAsia" w:ascii="楷体" w:hAnsi="楷体" w:eastAsia="楷体" w:cs="楷体"/>
          <w:sz w:val="24"/>
          <w:szCs w:val="24"/>
        </w:rPr>
        <w:t>（四）</w:t>
      </w:r>
      <w:r>
        <w:rPr>
          <w:rFonts w:hint="eastAsia" w:ascii="仿宋" w:hAnsi="仿宋" w:eastAsia="仿宋" w:cs="仿宋"/>
          <w:sz w:val="24"/>
          <w:szCs w:val="24"/>
        </w:rPr>
        <w:t>本合同内容的变更须经双方协商并签订书面补充协议。非双方</w:t>
      </w:r>
      <w:r>
        <w:rPr>
          <w:rFonts w:hint="eastAsia" w:ascii="仿宋" w:hAnsi="仿宋" w:eastAsia="仿宋" w:cs="仿宋"/>
          <w:bCs/>
          <w:sz w:val="24"/>
          <w:szCs w:val="24"/>
        </w:rPr>
        <w:t>法定代表人或委托人签字盖章</w:t>
      </w:r>
      <w:r>
        <w:rPr>
          <w:rFonts w:hint="eastAsia" w:ascii="仿宋" w:hAnsi="仿宋" w:eastAsia="仿宋" w:cs="仿宋"/>
          <w:sz w:val="24"/>
          <w:szCs w:val="24"/>
        </w:rPr>
        <w:t>，对本合同的任何改动、修订、增加或删减均属无效。</w:t>
      </w:r>
    </w:p>
    <w:p w14:paraId="08D03527">
      <w:pPr>
        <w:spacing w:line="400" w:lineRule="exact"/>
        <w:ind w:firstLine="480" w:firstLineChars="200"/>
        <w:rPr>
          <w:rFonts w:ascii="仿宋" w:hAnsi="仿宋" w:eastAsia="仿宋" w:cs="仿宋"/>
          <w:sz w:val="24"/>
          <w:szCs w:val="24"/>
        </w:rPr>
      </w:pPr>
      <w:r>
        <w:rPr>
          <w:rFonts w:hint="eastAsia" w:ascii="楷体" w:hAnsi="楷体" w:eastAsia="楷体" w:cs="楷体"/>
          <w:sz w:val="24"/>
          <w:szCs w:val="24"/>
        </w:rPr>
        <w:t>（五）</w:t>
      </w:r>
      <w:r>
        <w:rPr>
          <w:rFonts w:hint="eastAsia" w:ascii="仿宋" w:hAnsi="仿宋" w:eastAsia="仿宋" w:cs="仿宋"/>
          <w:sz w:val="24"/>
          <w:szCs w:val="24"/>
        </w:rPr>
        <w:t>合同有效期内，关于合同事项的通知，应采用书面形式。</w:t>
      </w:r>
    </w:p>
    <w:p w14:paraId="42670913">
      <w:pPr>
        <w:spacing w:line="400" w:lineRule="exact"/>
        <w:ind w:firstLine="480" w:firstLineChars="200"/>
        <w:rPr>
          <w:rFonts w:ascii="仿宋" w:hAnsi="仿宋" w:eastAsia="仿宋" w:cs="仿宋"/>
          <w:sz w:val="24"/>
          <w:szCs w:val="24"/>
        </w:rPr>
      </w:pPr>
      <w:r>
        <w:rPr>
          <w:rFonts w:hint="eastAsia" w:ascii="楷体" w:hAnsi="楷体" w:eastAsia="楷体" w:cs="楷体"/>
          <w:sz w:val="24"/>
          <w:szCs w:val="24"/>
        </w:rPr>
        <w:t>（六）</w:t>
      </w:r>
      <w:r>
        <w:rPr>
          <w:rFonts w:hint="eastAsia" w:ascii="仿宋" w:hAnsi="仿宋" w:eastAsia="仿宋" w:cs="仿宋"/>
          <w:sz w:val="24"/>
          <w:szCs w:val="24"/>
        </w:rPr>
        <w:t>本合同在履行过程中如发生争议，甲、乙双方应友好协商解决；若双方未达成一致，向乙方所在地人民法院提起诉讼。</w:t>
      </w:r>
    </w:p>
    <w:p w14:paraId="702BC1A8">
      <w:pPr>
        <w:spacing w:line="400" w:lineRule="exact"/>
        <w:ind w:firstLine="480" w:firstLineChars="200"/>
        <w:rPr>
          <w:rFonts w:ascii="仿宋" w:hAnsi="仿宋" w:eastAsia="仿宋"/>
          <w:sz w:val="24"/>
          <w:szCs w:val="24"/>
        </w:rPr>
      </w:pPr>
      <w:r>
        <w:rPr>
          <w:rFonts w:hint="eastAsia" w:ascii="楷体" w:hAnsi="楷体" w:eastAsia="楷体" w:cs="楷体"/>
          <w:sz w:val="24"/>
          <w:szCs w:val="24"/>
        </w:rPr>
        <w:t>（七）</w:t>
      </w:r>
      <w:r>
        <w:rPr>
          <w:rFonts w:hint="eastAsia" w:ascii="仿宋" w:hAnsi="仿宋" w:eastAsia="仿宋" w:cs="仿宋"/>
          <w:sz w:val="24"/>
          <w:szCs w:val="24"/>
        </w:rPr>
        <w:t>本合同结算币种为人民币，以中文为合同正式语言，如果采用除中文外的其他语言，若产生歧义，以中文版本为准。</w:t>
      </w:r>
    </w:p>
    <w:p w14:paraId="606EDB3E">
      <w:pPr>
        <w:numPr>
          <w:ilvl w:val="0"/>
          <w:numId w:val="0"/>
        </w:numPr>
        <w:spacing w:line="400" w:lineRule="exact"/>
        <w:ind w:firstLine="560" w:firstLineChars="200"/>
        <w:jc w:val="left"/>
        <w:outlineLvl w:val="0"/>
        <w:rPr>
          <w:rFonts w:ascii="黑体" w:hAnsi="黑体" w:eastAsia="黑体"/>
          <w:bCs/>
          <w:sz w:val="28"/>
          <w:szCs w:val="28"/>
        </w:rPr>
      </w:pPr>
      <w:r>
        <w:rPr>
          <w:rFonts w:hint="eastAsia" w:ascii="黑体" w:hAnsi="黑体" w:eastAsia="黑体"/>
          <w:bCs/>
          <w:sz w:val="28"/>
          <w:szCs w:val="28"/>
          <w:lang w:val="en-US" w:eastAsia="zh-CN"/>
        </w:rPr>
        <w:t>第十四条</w:t>
      </w:r>
      <w:r>
        <w:rPr>
          <w:rFonts w:hint="eastAsia" w:ascii="黑体" w:hAnsi="黑体" w:eastAsia="黑体"/>
          <w:bCs/>
          <w:sz w:val="28"/>
          <w:szCs w:val="28"/>
        </w:rPr>
        <w:t xml:space="preserve"> </w:t>
      </w:r>
      <w:r>
        <w:rPr>
          <w:rFonts w:hint="eastAsia" w:ascii="黑体" w:hAnsi="黑体" w:eastAsia="黑体"/>
          <w:bCs/>
          <w:sz w:val="28"/>
          <w:szCs w:val="28"/>
          <w:lang w:val="en-US" w:eastAsia="zh-CN"/>
        </w:rPr>
        <w:t xml:space="preserve"> </w:t>
      </w:r>
      <w:r>
        <w:rPr>
          <w:rFonts w:hint="eastAsia" w:ascii="黑体" w:hAnsi="黑体" w:eastAsia="黑体"/>
          <w:bCs/>
          <w:sz w:val="28"/>
          <w:szCs w:val="28"/>
        </w:rPr>
        <w:t>附件</w:t>
      </w:r>
    </w:p>
    <w:p w14:paraId="180A4568">
      <w:pPr>
        <w:spacing w:line="400" w:lineRule="exact"/>
        <w:ind w:firstLine="480" w:firstLineChars="200"/>
        <w:rPr>
          <w:rFonts w:ascii="仿宋" w:hAnsi="仿宋" w:eastAsia="仿宋"/>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一</w:t>
      </w:r>
      <w:r>
        <w:rPr>
          <w:rFonts w:hint="eastAsia" w:ascii="楷体" w:hAnsi="楷体" w:eastAsia="楷体" w:cs="楷体"/>
          <w:sz w:val="24"/>
          <w:szCs w:val="24"/>
        </w:rPr>
        <w:t>）</w:t>
      </w:r>
      <w:r>
        <w:rPr>
          <w:rFonts w:hint="eastAsia" w:ascii="仿宋" w:hAnsi="仿宋" w:eastAsia="仿宋"/>
          <w:sz w:val="24"/>
          <w:szCs w:val="24"/>
        </w:rPr>
        <w:t>包装技术要求；</w:t>
      </w:r>
    </w:p>
    <w:p w14:paraId="0C224C35">
      <w:pPr>
        <w:spacing w:line="400" w:lineRule="exact"/>
        <w:ind w:firstLine="480" w:firstLineChars="200"/>
        <w:rPr>
          <w:rFonts w:ascii="仿宋" w:hAnsi="仿宋" w:eastAsia="仿宋"/>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二</w:t>
      </w:r>
      <w:r>
        <w:rPr>
          <w:rFonts w:hint="eastAsia" w:ascii="楷体" w:hAnsi="楷体" w:eastAsia="楷体" w:cs="楷体"/>
          <w:sz w:val="24"/>
          <w:szCs w:val="24"/>
        </w:rPr>
        <w:t>）</w:t>
      </w:r>
      <w:r>
        <w:rPr>
          <w:rFonts w:hint="eastAsia" w:ascii="仿宋" w:hAnsi="仿宋" w:eastAsia="仿宋"/>
          <w:sz w:val="24"/>
          <w:szCs w:val="24"/>
        </w:rPr>
        <w:t>安全环保告知书；</w:t>
      </w:r>
    </w:p>
    <w:p w14:paraId="08DCDABC">
      <w:pPr>
        <w:spacing w:line="400" w:lineRule="exact"/>
        <w:ind w:firstLine="480" w:firstLineChars="200"/>
        <w:rPr>
          <w:rFonts w:ascii="仿宋" w:hAnsi="仿宋" w:eastAsia="仿宋"/>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三</w:t>
      </w:r>
      <w:r>
        <w:rPr>
          <w:rFonts w:hint="eastAsia" w:ascii="楷体" w:hAnsi="楷体" w:eastAsia="楷体" w:cs="楷体"/>
          <w:sz w:val="24"/>
          <w:szCs w:val="24"/>
        </w:rPr>
        <w:t>）</w:t>
      </w:r>
      <w:r>
        <w:rPr>
          <w:rFonts w:hint="eastAsia" w:ascii="仿宋" w:hAnsi="仿宋" w:eastAsia="仿宋"/>
          <w:sz w:val="24"/>
          <w:szCs w:val="24"/>
        </w:rPr>
        <w:t>廉政责任书；</w:t>
      </w:r>
    </w:p>
    <w:p w14:paraId="4121DCAE">
      <w:pPr>
        <w:spacing w:line="400" w:lineRule="exact"/>
        <w:ind w:firstLine="480" w:firstLineChars="200"/>
        <w:rPr>
          <w:rFonts w:hint="eastAsia" w:ascii="仿宋" w:hAnsi="仿宋" w:eastAsia="仿宋"/>
          <w:bCs/>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四</w:t>
      </w:r>
      <w:r>
        <w:rPr>
          <w:rFonts w:hint="eastAsia" w:ascii="楷体" w:hAnsi="楷体" w:eastAsia="楷体" w:cs="楷体"/>
          <w:sz w:val="24"/>
          <w:szCs w:val="24"/>
        </w:rPr>
        <w:t>）</w:t>
      </w:r>
      <w:r>
        <w:rPr>
          <w:rFonts w:hint="eastAsia" w:ascii="仿宋" w:hAnsi="仿宋" w:eastAsia="仿宋"/>
          <w:sz w:val="24"/>
          <w:szCs w:val="24"/>
        </w:rPr>
        <w:t>结算单</w:t>
      </w:r>
      <w:r>
        <w:rPr>
          <w:rFonts w:hint="eastAsia" w:ascii="仿宋" w:hAnsi="仿宋" w:eastAsia="仿宋"/>
          <w:bCs/>
          <w:sz w:val="24"/>
          <w:szCs w:val="24"/>
        </w:rPr>
        <w:t>（样表）；</w:t>
      </w:r>
    </w:p>
    <w:p w14:paraId="6CF8463A">
      <w:pPr>
        <w:spacing w:line="400" w:lineRule="exact"/>
        <w:ind w:firstLine="480" w:firstLineChars="200"/>
        <w:rPr>
          <w:rFonts w:hint="eastAsia" w:ascii="仿宋" w:hAnsi="仿宋" w:eastAsia="仿宋"/>
          <w:bCs/>
          <w:sz w:val="24"/>
          <w:szCs w:val="24"/>
        </w:rPr>
      </w:pPr>
    </w:p>
    <w:p w14:paraId="33D3F1F2">
      <w:pPr>
        <w:spacing w:line="400" w:lineRule="exact"/>
        <w:ind w:firstLine="480" w:firstLineChars="200"/>
        <w:rPr>
          <w:rFonts w:hint="eastAsia" w:ascii="仿宋" w:hAnsi="仿宋" w:eastAsia="仿宋"/>
          <w:bCs/>
          <w:sz w:val="24"/>
          <w:szCs w:val="24"/>
        </w:rPr>
      </w:pPr>
    </w:p>
    <w:p w14:paraId="5B0C9014">
      <w:pPr>
        <w:pStyle w:val="2"/>
        <w:rPr>
          <w:rFonts w:hint="eastAsia" w:ascii="仿宋" w:hAnsi="仿宋" w:eastAsia="仿宋"/>
          <w:bCs/>
          <w:sz w:val="24"/>
          <w:szCs w:val="24"/>
        </w:rPr>
      </w:pPr>
    </w:p>
    <w:p w14:paraId="7A79AE5C">
      <w:pPr>
        <w:pStyle w:val="2"/>
        <w:rPr>
          <w:rFonts w:hint="eastAsia" w:ascii="仿宋" w:hAnsi="仿宋" w:eastAsia="仿宋"/>
          <w:bCs/>
          <w:sz w:val="24"/>
          <w:szCs w:val="24"/>
        </w:rPr>
      </w:pPr>
    </w:p>
    <w:p w14:paraId="5BA5ED00">
      <w:pPr>
        <w:pStyle w:val="2"/>
        <w:ind w:left="0" w:leftChars="0" w:firstLine="0" w:firstLineChars="0"/>
        <w:rPr>
          <w:rFonts w:hint="eastAsia" w:ascii="仿宋" w:hAnsi="仿宋" w:eastAsia="仿宋"/>
          <w:bCs/>
          <w:sz w:val="24"/>
          <w:szCs w:val="24"/>
        </w:rPr>
      </w:pPr>
    </w:p>
    <w:p w14:paraId="01C972CD">
      <w:pPr>
        <w:rPr>
          <w:rFonts w:hint="eastAsia" w:ascii="楷体" w:hAnsi="楷体" w:eastAsia="楷体" w:cs="楷体"/>
          <w:bCs/>
          <w:sz w:val="28"/>
          <w:szCs w:val="28"/>
        </w:rPr>
      </w:pPr>
      <w:r>
        <w:rPr>
          <w:rFonts w:hint="eastAsia" w:ascii="楷体" w:hAnsi="楷体" w:eastAsia="楷体" w:cs="楷体"/>
          <w:bCs/>
          <w:sz w:val="28"/>
          <w:szCs w:val="28"/>
        </w:rPr>
        <w:br w:type="page"/>
      </w:r>
    </w:p>
    <w:p w14:paraId="693BF410">
      <w:pPr>
        <w:pStyle w:val="2"/>
        <w:ind w:left="0" w:leftChars="0" w:firstLine="0" w:firstLineChars="0"/>
        <w:rPr>
          <w:rFonts w:hint="eastAsia" w:ascii="仿宋" w:hAnsi="仿宋" w:eastAsia="仿宋"/>
          <w:bCs/>
          <w:sz w:val="24"/>
          <w:szCs w:val="24"/>
        </w:rPr>
      </w:pPr>
      <w:r>
        <w:rPr>
          <w:rFonts w:hint="eastAsia" w:ascii="楷体" w:hAnsi="楷体" w:eastAsia="楷体" w:cs="楷体"/>
          <w:bCs/>
          <w:sz w:val="28"/>
          <w:szCs w:val="28"/>
        </w:rPr>
        <w:t>（此页为签章页，无正文）</w:t>
      </w:r>
    </w:p>
    <w:tbl>
      <w:tblPr>
        <w:tblStyle w:val="13"/>
        <w:tblpPr w:leftFromText="180" w:rightFromText="180" w:vertAnchor="text" w:horzAnchor="page" w:tblpX="1222" w:tblpY="286"/>
        <w:tblOverlap w:val="never"/>
        <w:tblW w:w="10340" w:type="dxa"/>
        <w:tblInd w:w="0" w:type="dxa"/>
        <w:tblLayout w:type="fixed"/>
        <w:tblCellMar>
          <w:top w:w="0" w:type="dxa"/>
          <w:left w:w="108" w:type="dxa"/>
          <w:bottom w:w="0" w:type="dxa"/>
          <w:right w:w="108" w:type="dxa"/>
        </w:tblCellMar>
      </w:tblPr>
      <w:tblGrid>
        <w:gridCol w:w="1384"/>
        <w:gridCol w:w="851"/>
        <w:gridCol w:w="2565"/>
        <w:gridCol w:w="1329"/>
        <w:gridCol w:w="500"/>
        <w:gridCol w:w="709"/>
        <w:gridCol w:w="3002"/>
      </w:tblGrid>
      <w:tr w14:paraId="28504BE2">
        <w:tblPrEx>
          <w:tblCellMar>
            <w:top w:w="0" w:type="dxa"/>
            <w:left w:w="108" w:type="dxa"/>
            <w:bottom w:w="0" w:type="dxa"/>
            <w:right w:w="108" w:type="dxa"/>
          </w:tblCellMar>
        </w:tblPrEx>
        <w:tc>
          <w:tcPr>
            <w:tcW w:w="1384" w:type="dxa"/>
          </w:tcPr>
          <w:p w14:paraId="5B10A1D9">
            <w:pPr>
              <w:pBdr>
                <w:top w:val="none" w:color="auto" w:sz="0" w:space="0"/>
                <w:left w:val="none" w:color="auto" w:sz="0" w:space="0"/>
                <w:bottom w:val="none" w:color="auto" w:sz="0" w:space="0"/>
                <w:right w:val="none" w:color="auto" w:sz="0" w:space="0"/>
                <w:between w:val="none" w:color="auto" w:sz="0" w:space="0"/>
              </w:pBdr>
              <w:spacing w:line="360" w:lineRule="auto"/>
              <w:rPr>
                <w:rFonts w:ascii="仿宋_GB2312" w:hAnsi="宋体" w:eastAsia="仿宋_GB2312"/>
                <w:b/>
                <w:kern w:val="2"/>
                <w:sz w:val="24"/>
                <w:szCs w:val="24"/>
              </w:rPr>
            </w:pPr>
            <w:r>
              <w:rPr>
                <w:rFonts w:hint="eastAsia" w:ascii="仿宋_GB2312" w:hAnsi="宋体" w:eastAsia="仿宋_GB2312"/>
                <w:b/>
                <w:kern w:val="2"/>
                <w:sz w:val="24"/>
                <w:szCs w:val="24"/>
              </w:rPr>
              <w:t>甲方：</w:t>
            </w:r>
          </w:p>
        </w:tc>
        <w:tc>
          <w:tcPr>
            <w:tcW w:w="3416" w:type="dxa"/>
            <w:gridSpan w:val="2"/>
          </w:tcPr>
          <w:p w14:paraId="01849C0C">
            <w:pPr>
              <w:pBdr>
                <w:top w:val="none" w:color="auto" w:sz="0" w:space="0"/>
                <w:left w:val="none" w:color="auto" w:sz="0" w:space="0"/>
                <w:bottom w:val="none" w:color="auto" w:sz="0" w:space="0"/>
                <w:right w:val="none" w:color="auto" w:sz="0" w:space="0"/>
                <w:between w:val="none" w:color="auto" w:sz="0" w:space="0"/>
              </w:pBdr>
              <w:spacing w:line="360" w:lineRule="auto"/>
              <w:rPr>
                <w:rFonts w:ascii="仿宋_GB2312" w:hAnsi="宋体" w:eastAsia="仿宋_GB2312"/>
                <w:kern w:val="2"/>
                <w:sz w:val="24"/>
                <w:szCs w:val="24"/>
              </w:rPr>
            </w:pPr>
          </w:p>
        </w:tc>
        <w:tc>
          <w:tcPr>
            <w:tcW w:w="1329" w:type="dxa"/>
          </w:tcPr>
          <w:p w14:paraId="1BDA2978">
            <w:pPr>
              <w:pBdr>
                <w:top w:val="none" w:color="auto" w:sz="0" w:space="0"/>
                <w:left w:val="none" w:color="auto" w:sz="0" w:space="0"/>
                <w:bottom w:val="none" w:color="auto" w:sz="0" w:space="0"/>
                <w:right w:val="none" w:color="auto" w:sz="0" w:space="0"/>
                <w:between w:val="none" w:color="auto" w:sz="0" w:space="0"/>
              </w:pBdr>
              <w:spacing w:line="360" w:lineRule="auto"/>
              <w:rPr>
                <w:rFonts w:ascii="仿宋_GB2312" w:hAnsi="宋体" w:eastAsia="仿宋_GB2312"/>
                <w:b/>
                <w:kern w:val="2"/>
                <w:sz w:val="24"/>
                <w:szCs w:val="24"/>
              </w:rPr>
            </w:pPr>
            <w:r>
              <w:rPr>
                <w:rFonts w:hint="eastAsia" w:ascii="仿宋_GB2312" w:hAnsi="宋体" w:eastAsia="仿宋_GB2312"/>
                <w:b/>
                <w:kern w:val="2"/>
                <w:sz w:val="24"/>
                <w:szCs w:val="24"/>
              </w:rPr>
              <w:t>乙方：</w:t>
            </w:r>
          </w:p>
        </w:tc>
        <w:tc>
          <w:tcPr>
            <w:tcW w:w="4211" w:type="dxa"/>
            <w:gridSpan w:val="3"/>
          </w:tcPr>
          <w:p w14:paraId="43E2E84E">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仿宋_GB2312" w:hAnsi="宋体" w:eastAsia="仿宋_GB2312"/>
                <w:kern w:val="2"/>
                <w:sz w:val="24"/>
                <w:szCs w:val="24"/>
                <w:lang w:eastAsia="zh-CN"/>
              </w:rPr>
            </w:pPr>
            <w:r>
              <w:rPr>
                <w:rFonts w:hint="eastAsia" w:ascii="仿宋_GB2312" w:hAnsi="宋体" w:eastAsia="仿宋_GB2312"/>
                <w:kern w:val="2"/>
                <w:sz w:val="24"/>
                <w:szCs w:val="24"/>
                <w:lang w:val="en-US" w:eastAsia="zh-CN"/>
              </w:rPr>
              <w:t xml:space="preserve"> </w:t>
            </w:r>
          </w:p>
        </w:tc>
      </w:tr>
      <w:tr w14:paraId="5ECA7654">
        <w:tblPrEx>
          <w:tblCellMar>
            <w:top w:w="0" w:type="dxa"/>
            <w:left w:w="108" w:type="dxa"/>
            <w:bottom w:w="0" w:type="dxa"/>
            <w:right w:w="108" w:type="dxa"/>
          </w:tblCellMar>
        </w:tblPrEx>
        <w:trPr>
          <w:trHeight w:val="142" w:hRule="atLeast"/>
        </w:trPr>
        <w:tc>
          <w:tcPr>
            <w:tcW w:w="1384" w:type="dxa"/>
          </w:tcPr>
          <w:p w14:paraId="7BE9E1BE">
            <w:pPr>
              <w:pBdr>
                <w:top w:val="none" w:color="auto" w:sz="0" w:space="0"/>
                <w:left w:val="none" w:color="auto" w:sz="0" w:space="0"/>
                <w:bottom w:val="none" w:color="auto" w:sz="0" w:space="0"/>
                <w:right w:val="none" w:color="auto" w:sz="0" w:space="0"/>
                <w:between w:val="none" w:color="auto" w:sz="0" w:space="0"/>
              </w:pBdr>
              <w:spacing w:line="360" w:lineRule="auto"/>
              <w:rPr>
                <w:rFonts w:ascii="仿宋_GB2312" w:hAnsi="宋体" w:eastAsia="仿宋_GB2312"/>
                <w:kern w:val="2"/>
                <w:szCs w:val="24"/>
              </w:rPr>
            </w:pPr>
            <w:r>
              <w:rPr>
                <w:rFonts w:hint="eastAsia" w:ascii="仿宋_GB2312" w:hAnsi="宋体" w:eastAsia="仿宋_GB2312"/>
                <w:kern w:val="2"/>
                <w:szCs w:val="24"/>
              </w:rPr>
              <w:t>（盖章）</w:t>
            </w:r>
          </w:p>
        </w:tc>
        <w:tc>
          <w:tcPr>
            <w:tcW w:w="3416" w:type="dxa"/>
            <w:gridSpan w:val="2"/>
          </w:tcPr>
          <w:p w14:paraId="06AF9032">
            <w:pPr>
              <w:pBdr>
                <w:top w:val="none" w:color="auto" w:sz="0" w:space="0"/>
                <w:left w:val="none" w:color="auto" w:sz="0" w:space="0"/>
                <w:bottom w:val="none" w:color="auto" w:sz="0" w:space="0"/>
                <w:right w:val="none" w:color="auto" w:sz="0" w:space="0"/>
                <w:between w:val="none" w:color="auto" w:sz="0" w:space="0"/>
              </w:pBdr>
              <w:spacing w:line="360" w:lineRule="auto"/>
              <w:rPr>
                <w:rFonts w:ascii="仿宋_GB2312" w:hAnsi="宋体" w:eastAsia="仿宋_GB2312"/>
                <w:kern w:val="2"/>
                <w:szCs w:val="21"/>
              </w:rPr>
            </w:pPr>
          </w:p>
        </w:tc>
        <w:tc>
          <w:tcPr>
            <w:tcW w:w="1329" w:type="dxa"/>
          </w:tcPr>
          <w:p w14:paraId="04EF3858">
            <w:pPr>
              <w:pBdr>
                <w:top w:val="none" w:color="auto" w:sz="0" w:space="0"/>
                <w:left w:val="none" w:color="auto" w:sz="0" w:space="0"/>
                <w:bottom w:val="none" w:color="auto" w:sz="0" w:space="0"/>
                <w:right w:val="none" w:color="auto" w:sz="0" w:space="0"/>
                <w:between w:val="none" w:color="auto" w:sz="0" w:space="0"/>
              </w:pBdr>
              <w:spacing w:line="360" w:lineRule="auto"/>
              <w:rPr>
                <w:rFonts w:ascii="仿宋_GB2312" w:hAnsi="宋体" w:eastAsia="仿宋_GB2312"/>
                <w:kern w:val="2"/>
                <w:szCs w:val="21"/>
              </w:rPr>
            </w:pPr>
            <w:r>
              <w:rPr>
                <w:rFonts w:hint="eastAsia" w:ascii="仿宋_GB2312" w:hAnsi="宋体" w:eastAsia="仿宋_GB2312"/>
                <w:kern w:val="2"/>
                <w:szCs w:val="21"/>
              </w:rPr>
              <w:t>（盖章）</w:t>
            </w:r>
          </w:p>
        </w:tc>
        <w:tc>
          <w:tcPr>
            <w:tcW w:w="4211" w:type="dxa"/>
            <w:gridSpan w:val="3"/>
          </w:tcPr>
          <w:p w14:paraId="7F801259">
            <w:pPr>
              <w:pBdr>
                <w:top w:val="none" w:color="auto" w:sz="0" w:space="0"/>
                <w:left w:val="none" w:color="auto" w:sz="0" w:space="0"/>
                <w:bottom w:val="none" w:color="auto" w:sz="0" w:space="0"/>
                <w:right w:val="none" w:color="auto" w:sz="0" w:space="0"/>
                <w:between w:val="none" w:color="auto" w:sz="0" w:space="0"/>
              </w:pBdr>
              <w:spacing w:line="360" w:lineRule="auto"/>
              <w:rPr>
                <w:rFonts w:ascii="仿宋_GB2312" w:hAnsi="宋体" w:eastAsia="仿宋_GB2312"/>
                <w:kern w:val="2"/>
                <w:szCs w:val="21"/>
              </w:rPr>
            </w:pPr>
          </w:p>
        </w:tc>
      </w:tr>
      <w:tr w14:paraId="47C464B1">
        <w:tblPrEx>
          <w:tblCellMar>
            <w:top w:w="0" w:type="dxa"/>
            <w:left w:w="108" w:type="dxa"/>
            <w:bottom w:w="0" w:type="dxa"/>
            <w:right w:w="108" w:type="dxa"/>
          </w:tblCellMar>
        </w:tblPrEx>
        <w:tc>
          <w:tcPr>
            <w:tcW w:w="1384" w:type="dxa"/>
          </w:tcPr>
          <w:p w14:paraId="29B53C18">
            <w:pPr>
              <w:pBdr>
                <w:top w:val="none" w:color="auto" w:sz="0" w:space="0"/>
                <w:left w:val="none" w:color="auto" w:sz="0" w:space="0"/>
                <w:bottom w:val="none" w:color="auto" w:sz="0" w:space="0"/>
                <w:right w:val="none" w:color="auto" w:sz="0" w:space="0"/>
                <w:between w:val="none" w:color="auto" w:sz="0" w:space="0"/>
              </w:pBdr>
              <w:spacing w:line="360" w:lineRule="auto"/>
              <w:rPr>
                <w:rFonts w:ascii="仿宋_GB2312" w:hAnsi="宋体" w:eastAsia="仿宋_GB2312"/>
                <w:kern w:val="2"/>
                <w:szCs w:val="24"/>
              </w:rPr>
            </w:pPr>
            <w:r>
              <w:rPr>
                <w:rFonts w:hint="eastAsia" w:ascii="仿宋_GB2312" w:hAnsi="宋体" w:eastAsia="仿宋_GB2312"/>
                <w:kern w:val="2"/>
                <w:szCs w:val="24"/>
              </w:rPr>
              <w:t>注册地址：</w:t>
            </w:r>
          </w:p>
        </w:tc>
        <w:tc>
          <w:tcPr>
            <w:tcW w:w="3416" w:type="dxa"/>
            <w:gridSpan w:val="2"/>
          </w:tcPr>
          <w:p w14:paraId="39813DD3">
            <w:pPr>
              <w:pBdr>
                <w:top w:val="none" w:color="auto" w:sz="0" w:space="0"/>
                <w:left w:val="none" w:color="auto" w:sz="0" w:space="0"/>
                <w:bottom w:val="none" w:color="auto" w:sz="0" w:space="0"/>
                <w:right w:val="none" w:color="auto" w:sz="0" w:space="0"/>
                <w:between w:val="none" w:color="auto" w:sz="0" w:space="0"/>
              </w:pBdr>
              <w:spacing w:line="360" w:lineRule="auto"/>
              <w:rPr>
                <w:rFonts w:ascii="仿宋_GB2312" w:hAnsi="宋体" w:eastAsia="仿宋_GB2312"/>
                <w:kern w:val="2"/>
                <w:sz w:val="24"/>
                <w:szCs w:val="24"/>
              </w:rPr>
            </w:pPr>
          </w:p>
        </w:tc>
        <w:tc>
          <w:tcPr>
            <w:tcW w:w="1329" w:type="dxa"/>
          </w:tcPr>
          <w:p w14:paraId="64C2B515">
            <w:pPr>
              <w:pBdr>
                <w:top w:val="none" w:color="auto" w:sz="0" w:space="0"/>
                <w:left w:val="none" w:color="auto" w:sz="0" w:space="0"/>
                <w:bottom w:val="none" w:color="auto" w:sz="0" w:space="0"/>
                <w:right w:val="none" w:color="auto" w:sz="0" w:space="0"/>
                <w:between w:val="none" w:color="auto" w:sz="0" w:space="0"/>
              </w:pBdr>
              <w:spacing w:line="360" w:lineRule="auto"/>
              <w:rPr>
                <w:rFonts w:ascii="仿宋_GB2312" w:hAnsi="宋体" w:eastAsia="仿宋_GB2312"/>
                <w:kern w:val="2"/>
                <w:szCs w:val="21"/>
              </w:rPr>
            </w:pPr>
            <w:r>
              <w:rPr>
                <w:rFonts w:hint="eastAsia" w:ascii="仿宋_GB2312" w:hAnsi="宋体" w:eastAsia="仿宋_GB2312"/>
                <w:kern w:val="2"/>
                <w:szCs w:val="21"/>
              </w:rPr>
              <w:t>注册地址：</w:t>
            </w:r>
          </w:p>
        </w:tc>
        <w:tc>
          <w:tcPr>
            <w:tcW w:w="4211" w:type="dxa"/>
            <w:gridSpan w:val="3"/>
          </w:tcPr>
          <w:p w14:paraId="32764A12">
            <w:pPr>
              <w:pBdr>
                <w:top w:val="none" w:color="auto" w:sz="0" w:space="0"/>
                <w:left w:val="none" w:color="auto" w:sz="0" w:space="0"/>
                <w:bottom w:val="none" w:color="auto" w:sz="0" w:space="0"/>
                <w:right w:val="none" w:color="auto" w:sz="0" w:space="0"/>
                <w:between w:val="none" w:color="auto" w:sz="0" w:space="0"/>
              </w:pBdr>
              <w:spacing w:line="360" w:lineRule="auto"/>
              <w:rPr>
                <w:rFonts w:hint="default" w:ascii="仿宋_GB2312" w:hAnsi="宋体" w:eastAsia="仿宋_GB2312"/>
                <w:kern w:val="2"/>
                <w:szCs w:val="21"/>
                <w:lang w:val="en-US" w:eastAsia="zh-CN"/>
              </w:rPr>
            </w:pPr>
            <w:r>
              <w:rPr>
                <w:rFonts w:hint="eastAsia" w:ascii="仿宋_GB2312" w:hAnsi="宋体" w:eastAsia="仿宋_GB2312"/>
                <w:kern w:val="2"/>
                <w:szCs w:val="21"/>
                <w:lang w:val="en-US" w:eastAsia="zh-CN"/>
              </w:rPr>
              <w:t xml:space="preserve"> </w:t>
            </w:r>
          </w:p>
        </w:tc>
      </w:tr>
      <w:tr w14:paraId="081FD483">
        <w:tblPrEx>
          <w:tblCellMar>
            <w:top w:w="0" w:type="dxa"/>
            <w:left w:w="108" w:type="dxa"/>
            <w:bottom w:w="0" w:type="dxa"/>
            <w:right w:w="108" w:type="dxa"/>
          </w:tblCellMar>
        </w:tblPrEx>
        <w:tc>
          <w:tcPr>
            <w:tcW w:w="1384" w:type="dxa"/>
          </w:tcPr>
          <w:p w14:paraId="65166F7A">
            <w:pPr>
              <w:pBdr>
                <w:top w:val="none" w:color="auto" w:sz="0" w:space="0"/>
                <w:left w:val="none" w:color="auto" w:sz="0" w:space="0"/>
                <w:bottom w:val="none" w:color="auto" w:sz="0" w:space="0"/>
                <w:right w:val="none" w:color="auto" w:sz="0" w:space="0"/>
                <w:between w:val="none" w:color="auto" w:sz="0" w:space="0"/>
              </w:pBdr>
              <w:spacing w:line="360" w:lineRule="auto"/>
              <w:rPr>
                <w:rFonts w:ascii="仿宋_GB2312" w:hAnsi="宋体" w:eastAsia="仿宋_GB2312"/>
                <w:kern w:val="2"/>
                <w:szCs w:val="24"/>
              </w:rPr>
            </w:pPr>
            <w:r>
              <w:rPr>
                <w:rFonts w:hint="eastAsia" w:ascii="仿宋_GB2312" w:hAnsi="宋体" w:eastAsia="仿宋_GB2312"/>
                <w:kern w:val="2"/>
                <w:szCs w:val="24"/>
              </w:rPr>
              <w:t>经营地址：</w:t>
            </w:r>
          </w:p>
        </w:tc>
        <w:tc>
          <w:tcPr>
            <w:tcW w:w="3416" w:type="dxa"/>
            <w:gridSpan w:val="2"/>
          </w:tcPr>
          <w:p w14:paraId="243F5A4C">
            <w:pPr>
              <w:pBdr>
                <w:top w:val="none" w:color="auto" w:sz="0" w:space="0"/>
                <w:left w:val="none" w:color="auto" w:sz="0" w:space="0"/>
                <w:bottom w:val="none" w:color="auto" w:sz="0" w:space="0"/>
                <w:right w:val="none" w:color="auto" w:sz="0" w:space="0"/>
                <w:between w:val="none" w:color="auto" w:sz="0" w:space="0"/>
              </w:pBdr>
              <w:spacing w:line="360" w:lineRule="auto"/>
              <w:rPr>
                <w:rFonts w:ascii="仿宋_GB2312" w:hAnsi="宋体" w:eastAsia="仿宋_GB2312"/>
                <w:kern w:val="2"/>
                <w:sz w:val="24"/>
                <w:szCs w:val="24"/>
              </w:rPr>
            </w:pPr>
          </w:p>
        </w:tc>
        <w:tc>
          <w:tcPr>
            <w:tcW w:w="1329" w:type="dxa"/>
          </w:tcPr>
          <w:p w14:paraId="70889429">
            <w:pPr>
              <w:pBdr>
                <w:top w:val="none" w:color="auto" w:sz="0" w:space="0"/>
                <w:left w:val="none" w:color="auto" w:sz="0" w:space="0"/>
                <w:bottom w:val="none" w:color="auto" w:sz="0" w:space="0"/>
                <w:right w:val="none" w:color="auto" w:sz="0" w:space="0"/>
                <w:between w:val="none" w:color="auto" w:sz="0" w:space="0"/>
              </w:pBdr>
              <w:spacing w:line="360" w:lineRule="auto"/>
              <w:rPr>
                <w:rFonts w:ascii="仿宋_GB2312" w:hAnsi="宋体" w:eastAsia="仿宋_GB2312"/>
                <w:kern w:val="2"/>
                <w:szCs w:val="21"/>
              </w:rPr>
            </w:pPr>
            <w:r>
              <w:rPr>
                <w:rFonts w:hint="eastAsia" w:ascii="仿宋_GB2312" w:hAnsi="宋体" w:eastAsia="仿宋_GB2312"/>
                <w:kern w:val="2"/>
                <w:szCs w:val="21"/>
              </w:rPr>
              <w:t>经营地址：</w:t>
            </w:r>
          </w:p>
        </w:tc>
        <w:tc>
          <w:tcPr>
            <w:tcW w:w="4211" w:type="dxa"/>
            <w:gridSpan w:val="3"/>
          </w:tcPr>
          <w:p w14:paraId="4655068B">
            <w:pPr>
              <w:pBdr>
                <w:top w:val="none" w:color="auto" w:sz="0" w:space="0"/>
                <w:left w:val="none" w:color="auto" w:sz="0" w:space="0"/>
                <w:bottom w:val="none" w:color="auto" w:sz="0" w:space="0"/>
                <w:right w:val="none" w:color="auto" w:sz="0" w:space="0"/>
                <w:between w:val="none" w:color="auto" w:sz="0" w:space="0"/>
              </w:pBdr>
              <w:spacing w:line="360" w:lineRule="auto"/>
              <w:rPr>
                <w:rFonts w:ascii="仿宋_GB2312" w:hAnsi="宋体" w:eastAsia="仿宋_GB2312"/>
                <w:kern w:val="2"/>
                <w:szCs w:val="21"/>
              </w:rPr>
            </w:pPr>
            <w:r>
              <w:rPr>
                <w:rFonts w:hint="eastAsia" w:ascii="仿宋_GB2312" w:hAnsi="宋体" w:eastAsia="仿宋_GB2312"/>
                <w:kern w:val="2"/>
                <w:szCs w:val="21"/>
                <w:lang w:val="en-US" w:eastAsia="zh-CN"/>
              </w:rPr>
              <w:t xml:space="preserve"> </w:t>
            </w:r>
          </w:p>
        </w:tc>
      </w:tr>
      <w:tr w14:paraId="4EB44BAD">
        <w:tblPrEx>
          <w:tblCellMar>
            <w:top w:w="0" w:type="dxa"/>
            <w:left w:w="108" w:type="dxa"/>
            <w:bottom w:w="0" w:type="dxa"/>
            <w:right w:w="108" w:type="dxa"/>
          </w:tblCellMar>
        </w:tblPrEx>
        <w:tc>
          <w:tcPr>
            <w:tcW w:w="2235" w:type="dxa"/>
            <w:gridSpan w:val="2"/>
          </w:tcPr>
          <w:p w14:paraId="7D289588">
            <w:pPr>
              <w:pBdr>
                <w:top w:val="none" w:color="auto" w:sz="0" w:space="0"/>
                <w:left w:val="none" w:color="auto" w:sz="0" w:space="0"/>
                <w:bottom w:val="none" w:color="auto" w:sz="0" w:space="0"/>
                <w:right w:val="none" w:color="auto" w:sz="0" w:space="0"/>
                <w:between w:val="none" w:color="auto" w:sz="0" w:space="0"/>
              </w:pBdr>
              <w:spacing w:line="360" w:lineRule="auto"/>
              <w:rPr>
                <w:rFonts w:ascii="仿宋" w:hAnsi="仿宋" w:eastAsia="仿宋" w:cs="仿宋"/>
                <w:kern w:val="2"/>
                <w:szCs w:val="21"/>
              </w:rPr>
            </w:pPr>
            <w:r>
              <w:rPr>
                <w:rFonts w:hint="eastAsia" w:ascii="仿宋" w:hAnsi="仿宋" w:eastAsia="仿宋" w:cs="仿宋"/>
                <w:kern w:val="2"/>
                <w:szCs w:val="21"/>
              </w:rPr>
              <w:t>法定代表人或委托代理人（签字或盖章）：</w:t>
            </w:r>
          </w:p>
        </w:tc>
        <w:tc>
          <w:tcPr>
            <w:tcW w:w="2565" w:type="dxa"/>
          </w:tcPr>
          <w:p w14:paraId="79EB6646">
            <w:pPr>
              <w:pBdr>
                <w:top w:val="none" w:color="auto" w:sz="0" w:space="0"/>
                <w:left w:val="none" w:color="auto" w:sz="0" w:space="0"/>
                <w:bottom w:val="none" w:color="auto" w:sz="0" w:space="0"/>
                <w:right w:val="none" w:color="auto" w:sz="0" w:space="0"/>
                <w:between w:val="none" w:color="auto" w:sz="0" w:space="0"/>
              </w:pBdr>
              <w:spacing w:line="360" w:lineRule="auto"/>
              <w:rPr>
                <w:rFonts w:ascii="仿宋_GB2312" w:hAnsi="宋体" w:eastAsia="仿宋_GB2312"/>
                <w:kern w:val="2"/>
                <w:szCs w:val="21"/>
              </w:rPr>
            </w:pPr>
          </w:p>
        </w:tc>
        <w:tc>
          <w:tcPr>
            <w:tcW w:w="2538" w:type="dxa"/>
            <w:gridSpan w:val="3"/>
          </w:tcPr>
          <w:p w14:paraId="3B99F8BB">
            <w:pPr>
              <w:pBdr>
                <w:top w:val="none" w:color="auto" w:sz="0" w:space="0"/>
                <w:left w:val="none" w:color="auto" w:sz="0" w:space="0"/>
                <w:bottom w:val="none" w:color="auto" w:sz="0" w:space="0"/>
                <w:right w:val="none" w:color="auto" w:sz="0" w:space="0"/>
                <w:between w:val="none" w:color="auto" w:sz="0" w:space="0"/>
              </w:pBdr>
              <w:spacing w:line="360" w:lineRule="auto"/>
              <w:rPr>
                <w:rFonts w:ascii="仿宋_GB2312" w:hAnsi="宋体" w:eastAsia="仿宋_GB2312"/>
                <w:kern w:val="2"/>
                <w:szCs w:val="21"/>
              </w:rPr>
            </w:pPr>
            <w:r>
              <w:rPr>
                <w:rFonts w:hint="eastAsia" w:ascii="仿宋" w:hAnsi="仿宋" w:eastAsia="仿宋" w:cs="仿宋"/>
                <w:kern w:val="2"/>
                <w:szCs w:val="21"/>
              </w:rPr>
              <w:t>法定代表人或委托代理人（签字或盖章）：</w:t>
            </w:r>
          </w:p>
        </w:tc>
        <w:tc>
          <w:tcPr>
            <w:tcW w:w="3002" w:type="dxa"/>
          </w:tcPr>
          <w:p w14:paraId="6A6591CE">
            <w:pPr>
              <w:pBdr>
                <w:top w:val="none" w:color="auto" w:sz="0" w:space="0"/>
                <w:left w:val="none" w:color="auto" w:sz="0" w:space="0"/>
                <w:bottom w:val="none" w:color="auto" w:sz="0" w:space="0"/>
                <w:right w:val="none" w:color="auto" w:sz="0" w:space="0"/>
                <w:between w:val="none" w:color="auto" w:sz="0" w:space="0"/>
              </w:pBdr>
              <w:spacing w:line="360" w:lineRule="auto"/>
              <w:rPr>
                <w:rFonts w:ascii="仿宋_GB2312" w:hAnsi="宋体" w:eastAsia="仿宋_GB2312"/>
                <w:kern w:val="2"/>
                <w:szCs w:val="21"/>
              </w:rPr>
            </w:pPr>
          </w:p>
        </w:tc>
      </w:tr>
      <w:tr w14:paraId="5844AA1F">
        <w:tblPrEx>
          <w:tblCellMar>
            <w:top w:w="0" w:type="dxa"/>
            <w:left w:w="108" w:type="dxa"/>
            <w:bottom w:w="0" w:type="dxa"/>
            <w:right w:w="108" w:type="dxa"/>
          </w:tblCellMar>
        </w:tblPrEx>
        <w:tc>
          <w:tcPr>
            <w:tcW w:w="2235" w:type="dxa"/>
            <w:gridSpan w:val="2"/>
          </w:tcPr>
          <w:p w14:paraId="0F78773B">
            <w:pPr>
              <w:pBdr>
                <w:top w:val="none" w:color="auto" w:sz="0" w:space="0"/>
                <w:left w:val="none" w:color="auto" w:sz="0" w:space="0"/>
                <w:bottom w:val="none" w:color="auto" w:sz="0" w:space="0"/>
                <w:right w:val="none" w:color="auto" w:sz="0" w:space="0"/>
                <w:between w:val="none" w:color="auto" w:sz="0" w:space="0"/>
              </w:pBdr>
              <w:spacing w:line="360" w:lineRule="auto"/>
              <w:rPr>
                <w:rFonts w:ascii="仿宋_GB2312" w:hAnsi="宋体" w:eastAsia="仿宋_GB2312"/>
                <w:kern w:val="2"/>
                <w:szCs w:val="24"/>
              </w:rPr>
            </w:pPr>
          </w:p>
        </w:tc>
        <w:tc>
          <w:tcPr>
            <w:tcW w:w="2565" w:type="dxa"/>
          </w:tcPr>
          <w:p w14:paraId="68B968A4">
            <w:pPr>
              <w:pBdr>
                <w:top w:val="none" w:color="auto" w:sz="0" w:space="0"/>
                <w:left w:val="none" w:color="auto" w:sz="0" w:space="0"/>
                <w:bottom w:val="none" w:color="auto" w:sz="0" w:space="0"/>
                <w:right w:val="none" w:color="auto" w:sz="0" w:space="0"/>
                <w:between w:val="none" w:color="auto" w:sz="0" w:space="0"/>
              </w:pBdr>
              <w:spacing w:line="360" w:lineRule="auto"/>
              <w:rPr>
                <w:rFonts w:ascii="仿宋_GB2312" w:hAnsi="宋体" w:eastAsia="仿宋_GB2312"/>
                <w:kern w:val="2"/>
                <w:sz w:val="24"/>
                <w:szCs w:val="24"/>
              </w:rPr>
            </w:pPr>
          </w:p>
        </w:tc>
        <w:tc>
          <w:tcPr>
            <w:tcW w:w="2538" w:type="dxa"/>
            <w:gridSpan w:val="3"/>
          </w:tcPr>
          <w:p w14:paraId="151C3C69">
            <w:pPr>
              <w:pBdr>
                <w:top w:val="none" w:color="auto" w:sz="0" w:space="0"/>
                <w:left w:val="none" w:color="auto" w:sz="0" w:space="0"/>
                <w:bottom w:val="none" w:color="auto" w:sz="0" w:space="0"/>
                <w:right w:val="none" w:color="auto" w:sz="0" w:space="0"/>
                <w:between w:val="none" w:color="auto" w:sz="0" w:space="0"/>
              </w:pBdr>
              <w:spacing w:line="360" w:lineRule="auto"/>
              <w:rPr>
                <w:rFonts w:ascii="仿宋_GB2312" w:hAnsi="宋体" w:eastAsia="仿宋_GB2312"/>
                <w:kern w:val="2"/>
                <w:szCs w:val="24"/>
              </w:rPr>
            </w:pPr>
          </w:p>
        </w:tc>
        <w:tc>
          <w:tcPr>
            <w:tcW w:w="3002" w:type="dxa"/>
          </w:tcPr>
          <w:p w14:paraId="713FCB10">
            <w:pPr>
              <w:pBdr>
                <w:top w:val="none" w:color="auto" w:sz="0" w:space="0"/>
                <w:left w:val="none" w:color="auto" w:sz="0" w:space="0"/>
                <w:bottom w:val="none" w:color="auto" w:sz="0" w:space="0"/>
                <w:right w:val="none" w:color="auto" w:sz="0" w:space="0"/>
                <w:between w:val="none" w:color="auto" w:sz="0" w:space="0"/>
              </w:pBdr>
              <w:spacing w:line="360" w:lineRule="auto"/>
              <w:rPr>
                <w:rFonts w:ascii="仿宋_GB2312" w:hAnsi="宋体" w:eastAsia="仿宋_GB2312"/>
                <w:kern w:val="2"/>
                <w:sz w:val="24"/>
                <w:szCs w:val="24"/>
              </w:rPr>
            </w:pPr>
          </w:p>
        </w:tc>
      </w:tr>
      <w:tr w14:paraId="0AB891ED">
        <w:tblPrEx>
          <w:tblCellMar>
            <w:top w:w="0" w:type="dxa"/>
            <w:left w:w="108" w:type="dxa"/>
            <w:bottom w:w="0" w:type="dxa"/>
            <w:right w:w="108" w:type="dxa"/>
          </w:tblCellMar>
        </w:tblPrEx>
        <w:tc>
          <w:tcPr>
            <w:tcW w:w="2235" w:type="dxa"/>
            <w:gridSpan w:val="2"/>
          </w:tcPr>
          <w:p w14:paraId="47AAC4B5">
            <w:pPr>
              <w:pBdr>
                <w:top w:val="none" w:color="auto" w:sz="0" w:space="0"/>
                <w:left w:val="none" w:color="auto" w:sz="0" w:space="0"/>
                <w:bottom w:val="none" w:color="auto" w:sz="0" w:space="0"/>
                <w:right w:val="none" w:color="auto" w:sz="0" w:space="0"/>
                <w:between w:val="none" w:color="auto" w:sz="0" w:space="0"/>
              </w:pBdr>
              <w:spacing w:line="360" w:lineRule="auto"/>
              <w:rPr>
                <w:rFonts w:ascii="仿宋_GB2312" w:hAnsi="宋体" w:eastAsia="仿宋_GB2312"/>
                <w:kern w:val="2"/>
                <w:szCs w:val="24"/>
              </w:rPr>
            </w:pPr>
            <w:r>
              <w:rPr>
                <w:rFonts w:hint="eastAsia" w:ascii="仿宋_GB2312" w:hAnsi="宋体" w:eastAsia="仿宋_GB2312"/>
                <w:kern w:val="2"/>
                <w:szCs w:val="24"/>
              </w:rPr>
              <w:t>经办人（签字）：</w:t>
            </w:r>
          </w:p>
          <w:p w14:paraId="1EC16CE7">
            <w:pPr>
              <w:pBdr>
                <w:top w:val="none" w:color="auto" w:sz="0" w:space="0"/>
                <w:left w:val="none" w:color="auto" w:sz="0" w:space="0"/>
                <w:bottom w:val="none" w:color="auto" w:sz="0" w:space="0"/>
                <w:right w:val="none" w:color="auto" w:sz="0" w:space="0"/>
                <w:between w:val="none" w:color="auto" w:sz="0" w:space="0"/>
              </w:pBdr>
              <w:spacing w:line="360" w:lineRule="auto"/>
              <w:rPr>
                <w:rFonts w:ascii="仿宋_GB2312" w:hAnsi="宋体" w:eastAsia="仿宋_GB2312"/>
                <w:kern w:val="2"/>
                <w:szCs w:val="24"/>
              </w:rPr>
            </w:pPr>
          </w:p>
        </w:tc>
        <w:tc>
          <w:tcPr>
            <w:tcW w:w="2565" w:type="dxa"/>
          </w:tcPr>
          <w:p w14:paraId="441A2C6F">
            <w:pPr>
              <w:pBdr>
                <w:top w:val="none" w:color="auto" w:sz="0" w:space="0"/>
                <w:left w:val="none" w:color="auto" w:sz="0" w:space="0"/>
                <w:bottom w:val="none" w:color="auto" w:sz="0" w:space="0"/>
                <w:right w:val="none" w:color="auto" w:sz="0" w:space="0"/>
                <w:between w:val="none" w:color="auto" w:sz="0" w:space="0"/>
              </w:pBdr>
              <w:spacing w:line="360" w:lineRule="auto"/>
              <w:rPr>
                <w:rFonts w:ascii="仿宋_GB2312" w:hAnsi="宋体" w:eastAsia="仿宋_GB2312"/>
                <w:kern w:val="2"/>
                <w:sz w:val="24"/>
                <w:szCs w:val="24"/>
              </w:rPr>
            </w:pPr>
          </w:p>
        </w:tc>
        <w:tc>
          <w:tcPr>
            <w:tcW w:w="2538" w:type="dxa"/>
            <w:gridSpan w:val="3"/>
          </w:tcPr>
          <w:p w14:paraId="1F238582">
            <w:pPr>
              <w:pBdr>
                <w:top w:val="none" w:color="auto" w:sz="0" w:space="0"/>
                <w:left w:val="none" w:color="auto" w:sz="0" w:space="0"/>
                <w:bottom w:val="none" w:color="auto" w:sz="0" w:space="0"/>
                <w:right w:val="none" w:color="auto" w:sz="0" w:space="0"/>
                <w:between w:val="none" w:color="auto" w:sz="0" w:space="0"/>
              </w:pBdr>
              <w:spacing w:line="360" w:lineRule="auto"/>
              <w:rPr>
                <w:rFonts w:ascii="仿宋_GB2312" w:hAnsi="宋体" w:eastAsia="仿宋_GB2312"/>
                <w:kern w:val="2"/>
                <w:szCs w:val="24"/>
              </w:rPr>
            </w:pPr>
            <w:r>
              <w:rPr>
                <w:rFonts w:hint="eastAsia" w:ascii="仿宋_GB2312" w:hAnsi="宋体" w:eastAsia="仿宋_GB2312"/>
                <w:kern w:val="2"/>
                <w:szCs w:val="24"/>
              </w:rPr>
              <w:t>经办人（签字）：</w:t>
            </w:r>
          </w:p>
        </w:tc>
        <w:tc>
          <w:tcPr>
            <w:tcW w:w="3002" w:type="dxa"/>
          </w:tcPr>
          <w:p w14:paraId="2E309F5C">
            <w:pPr>
              <w:pBdr>
                <w:top w:val="none" w:color="auto" w:sz="0" w:space="0"/>
                <w:left w:val="none" w:color="auto" w:sz="0" w:space="0"/>
                <w:bottom w:val="none" w:color="auto" w:sz="0" w:space="0"/>
                <w:right w:val="none" w:color="auto" w:sz="0" w:space="0"/>
                <w:between w:val="none" w:color="auto" w:sz="0" w:space="0"/>
              </w:pBdr>
              <w:spacing w:line="360" w:lineRule="auto"/>
              <w:rPr>
                <w:rFonts w:ascii="仿宋_GB2312" w:hAnsi="宋体" w:eastAsia="仿宋_GB2312"/>
                <w:kern w:val="2"/>
                <w:sz w:val="24"/>
                <w:szCs w:val="24"/>
              </w:rPr>
            </w:pPr>
          </w:p>
        </w:tc>
      </w:tr>
      <w:tr w14:paraId="6C610E07">
        <w:tblPrEx>
          <w:tblCellMar>
            <w:top w:w="0" w:type="dxa"/>
            <w:left w:w="108" w:type="dxa"/>
            <w:bottom w:w="0" w:type="dxa"/>
            <w:right w:w="108" w:type="dxa"/>
          </w:tblCellMar>
        </w:tblPrEx>
        <w:tc>
          <w:tcPr>
            <w:tcW w:w="1384" w:type="dxa"/>
          </w:tcPr>
          <w:p w14:paraId="77BB7D2E">
            <w:pPr>
              <w:pBdr>
                <w:top w:val="none" w:color="auto" w:sz="0" w:space="0"/>
                <w:left w:val="none" w:color="auto" w:sz="0" w:space="0"/>
                <w:bottom w:val="none" w:color="auto" w:sz="0" w:space="0"/>
                <w:right w:val="none" w:color="auto" w:sz="0" w:space="0"/>
                <w:between w:val="none" w:color="auto" w:sz="0" w:space="0"/>
              </w:pBdr>
              <w:spacing w:line="360" w:lineRule="auto"/>
              <w:rPr>
                <w:rFonts w:ascii="仿宋_GB2312" w:hAnsi="宋体" w:eastAsia="仿宋_GB2312"/>
                <w:kern w:val="2"/>
                <w:szCs w:val="24"/>
              </w:rPr>
            </w:pPr>
            <w:r>
              <w:rPr>
                <w:rFonts w:hint="eastAsia" w:ascii="仿宋_GB2312" w:hAnsi="宋体" w:eastAsia="仿宋_GB2312"/>
                <w:kern w:val="2"/>
                <w:szCs w:val="24"/>
              </w:rPr>
              <w:t>签字日期：</w:t>
            </w:r>
          </w:p>
        </w:tc>
        <w:tc>
          <w:tcPr>
            <w:tcW w:w="3416" w:type="dxa"/>
            <w:gridSpan w:val="2"/>
          </w:tcPr>
          <w:p w14:paraId="5006398D">
            <w:pPr>
              <w:pBdr>
                <w:top w:val="none" w:color="auto" w:sz="0" w:space="0"/>
                <w:left w:val="none" w:color="auto" w:sz="0" w:space="0"/>
                <w:bottom w:val="none" w:color="auto" w:sz="0" w:space="0"/>
                <w:right w:val="none" w:color="auto" w:sz="0" w:space="0"/>
                <w:between w:val="none" w:color="auto" w:sz="0" w:space="0"/>
              </w:pBdr>
              <w:spacing w:line="360" w:lineRule="auto"/>
              <w:rPr>
                <w:rFonts w:ascii="仿宋_GB2312" w:hAnsi="宋体" w:eastAsia="仿宋_GB2312"/>
                <w:kern w:val="2"/>
                <w:sz w:val="24"/>
                <w:szCs w:val="24"/>
              </w:rPr>
            </w:pPr>
            <w:r>
              <w:rPr>
                <w:rFonts w:hint="eastAsia" w:ascii="仿宋_GB2312" w:hAnsi="宋体" w:eastAsia="仿宋_GB2312"/>
                <w:kern w:val="2"/>
                <w:sz w:val="24"/>
                <w:szCs w:val="24"/>
              </w:rPr>
              <w:t>202</w:t>
            </w:r>
            <w:r>
              <w:rPr>
                <w:rFonts w:hint="eastAsia" w:ascii="仿宋_GB2312" w:hAnsi="宋体" w:eastAsia="仿宋_GB2312"/>
                <w:kern w:val="2"/>
                <w:sz w:val="24"/>
                <w:szCs w:val="24"/>
                <w:lang w:val="en-US" w:eastAsia="zh-CN"/>
              </w:rPr>
              <w:t>6</w:t>
            </w:r>
            <w:r>
              <w:rPr>
                <w:rFonts w:hint="eastAsia" w:ascii="仿宋_GB2312" w:hAnsi="宋体" w:eastAsia="仿宋_GB2312"/>
                <w:kern w:val="2"/>
                <w:sz w:val="24"/>
                <w:szCs w:val="24"/>
              </w:rPr>
              <w:t>年   月   日</w:t>
            </w:r>
          </w:p>
        </w:tc>
        <w:tc>
          <w:tcPr>
            <w:tcW w:w="1829" w:type="dxa"/>
            <w:gridSpan w:val="2"/>
          </w:tcPr>
          <w:p w14:paraId="39E335B0">
            <w:pPr>
              <w:pBdr>
                <w:top w:val="none" w:color="auto" w:sz="0" w:space="0"/>
                <w:left w:val="none" w:color="auto" w:sz="0" w:space="0"/>
                <w:bottom w:val="none" w:color="auto" w:sz="0" w:space="0"/>
                <w:right w:val="none" w:color="auto" w:sz="0" w:space="0"/>
                <w:between w:val="none" w:color="auto" w:sz="0" w:space="0"/>
              </w:pBdr>
              <w:spacing w:line="360" w:lineRule="auto"/>
              <w:rPr>
                <w:rFonts w:ascii="仿宋_GB2312" w:hAnsi="宋体" w:eastAsia="仿宋_GB2312"/>
                <w:kern w:val="2"/>
                <w:szCs w:val="24"/>
              </w:rPr>
            </w:pPr>
            <w:r>
              <w:rPr>
                <w:rFonts w:hint="eastAsia" w:ascii="仿宋_GB2312" w:hAnsi="宋体" w:eastAsia="仿宋_GB2312"/>
                <w:kern w:val="2"/>
                <w:szCs w:val="24"/>
              </w:rPr>
              <w:t>签字日期：</w:t>
            </w:r>
          </w:p>
        </w:tc>
        <w:tc>
          <w:tcPr>
            <w:tcW w:w="3711" w:type="dxa"/>
            <w:gridSpan w:val="2"/>
          </w:tcPr>
          <w:p w14:paraId="240CD5A6">
            <w:pPr>
              <w:pBdr>
                <w:top w:val="none" w:color="auto" w:sz="0" w:space="0"/>
                <w:left w:val="none" w:color="auto" w:sz="0" w:space="0"/>
                <w:bottom w:val="none" w:color="auto" w:sz="0" w:space="0"/>
                <w:right w:val="none" w:color="auto" w:sz="0" w:space="0"/>
                <w:between w:val="none" w:color="auto" w:sz="0" w:space="0"/>
              </w:pBdr>
              <w:spacing w:line="360" w:lineRule="auto"/>
              <w:rPr>
                <w:rFonts w:ascii="仿宋_GB2312" w:hAnsi="宋体" w:eastAsia="仿宋_GB2312"/>
                <w:kern w:val="2"/>
                <w:sz w:val="24"/>
                <w:szCs w:val="24"/>
              </w:rPr>
            </w:pPr>
            <w:r>
              <w:rPr>
                <w:rFonts w:hint="eastAsia" w:ascii="仿宋_GB2312" w:hAnsi="宋体" w:eastAsia="仿宋_GB2312"/>
                <w:kern w:val="2"/>
                <w:sz w:val="24"/>
                <w:szCs w:val="24"/>
              </w:rPr>
              <w:t>202</w:t>
            </w:r>
            <w:r>
              <w:rPr>
                <w:rFonts w:hint="eastAsia" w:ascii="仿宋_GB2312" w:hAnsi="宋体" w:eastAsia="仿宋_GB2312"/>
                <w:kern w:val="2"/>
                <w:sz w:val="24"/>
                <w:szCs w:val="24"/>
                <w:lang w:val="en-US" w:eastAsia="zh-CN"/>
              </w:rPr>
              <w:t>6</w:t>
            </w:r>
            <w:r>
              <w:rPr>
                <w:rFonts w:hint="eastAsia" w:ascii="仿宋_GB2312" w:hAnsi="宋体" w:eastAsia="仿宋_GB2312"/>
                <w:kern w:val="2"/>
                <w:sz w:val="24"/>
                <w:szCs w:val="24"/>
              </w:rPr>
              <w:t xml:space="preserve">年 </w:t>
            </w:r>
            <w:r>
              <w:rPr>
                <w:rFonts w:hint="eastAsia" w:ascii="仿宋_GB2312" w:hAnsi="宋体" w:eastAsia="仿宋_GB2312"/>
                <w:kern w:val="2"/>
                <w:sz w:val="24"/>
                <w:szCs w:val="24"/>
                <w:lang w:val="en-US" w:eastAsia="zh-CN"/>
              </w:rPr>
              <w:t xml:space="preserve"> </w:t>
            </w:r>
            <w:r>
              <w:rPr>
                <w:rFonts w:hint="eastAsia" w:ascii="仿宋_GB2312" w:hAnsi="宋体" w:eastAsia="仿宋_GB2312"/>
                <w:kern w:val="2"/>
                <w:sz w:val="24"/>
                <w:szCs w:val="24"/>
              </w:rPr>
              <w:t xml:space="preserve"> 月 </w:t>
            </w:r>
            <w:r>
              <w:rPr>
                <w:rFonts w:hint="eastAsia" w:ascii="仿宋_GB2312" w:hAnsi="宋体" w:eastAsia="仿宋_GB2312"/>
                <w:kern w:val="2"/>
                <w:sz w:val="24"/>
                <w:szCs w:val="24"/>
                <w:lang w:val="en-US" w:eastAsia="zh-CN"/>
              </w:rPr>
              <w:t xml:space="preserve"> </w:t>
            </w:r>
            <w:r>
              <w:rPr>
                <w:rFonts w:hint="eastAsia" w:ascii="仿宋_GB2312" w:hAnsi="宋体" w:eastAsia="仿宋_GB2312"/>
                <w:kern w:val="2"/>
                <w:sz w:val="24"/>
                <w:szCs w:val="24"/>
              </w:rPr>
              <w:t xml:space="preserve"> 日</w:t>
            </w:r>
          </w:p>
        </w:tc>
      </w:tr>
    </w:tbl>
    <w:p w14:paraId="384ED57E">
      <w:pPr>
        <w:spacing w:line="400" w:lineRule="exact"/>
        <w:rPr>
          <w:rFonts w:ascii="仿宋" w:hAnsi="仿宋" w:eastAsia="仿宋"/>
          <w:bCs/>
          <w:sz w:val="24"/>
          <w:szCs w:val="24"/>
        </w:rPr>
      </w:pPr>
    </w:p>
    <w:p w14:paraId="6995925C">
      <w:pPr>
        <w:rPr>
          <w:rFonts w:ascii="仿宋" w:hAnsi="仿宋" w:eastAsia="仿宋"/>
          <w:bCs/>
          <w:sz w:val="24"/>
          <w:szCs w:val="24"/>
        </w:rPr>
      </w:pPr>
    </w:p>
    <w:p w14:paraId="0AAB8A50">
      <w:pPr>
        <w:rPr>
          <w:rFonts w:ascii="仿宋" w:hAnsi="仿宋" w:eastAsia="仿宋"/>
          <w:sz w:val="30"/>
          <w:szCs w:val="30"/>
        </w:rPr>
        <w:sectPr>
          <w:footerReference r:id="rId7" w:type="first"/>
          <w:footerReference r:id="rId6" w:type="default"/>
          <w:endnotePr>
            <w:numFmt w:val="decimal"/>
          </w:endnotePr>
          <w:pgSz w:w="11906" w:h="16838"/>
          <w:pgMar w:top="1417" w:right="1417" w:bottom="1417" w:left="1701" w:header="284" w:footer="992" w:gutter="0"/>
          <w:pgNumType w:fmt="decimal"/>
          <w:cols w:space="720" w:num="1"/>
          <w:titlePg/>
        </w:sectPr>
      </w:pPr>
    </w:p>
    <w:p w14:paraId="6DEB5282">
      <w:pPr>
        <w:rPr>
          <w:rFonts w:ascii="仿宋" w:hAnsi="仿宋" w:eastAsia="仿宋"/>
          <w:b/>
          <w:sz w:val="28"/>
          <w:szCs w:val="28"/>
        </w:rPr>
      </w:pPr>
      <w:r>
        <w:rPr>
          <w:rFonts w:hint="eastAsia" w:ascii="黑体" w:hAnsi="黑体" w:eastAsia="黑体" w:cs="黑体"/>
          <w:bCs/>
          <w:sz w:val="28"/>
          <w:szCs w:val="28"/>
        </w:rPr>
        <w:t>附件</w:t>
      </w:r>
      <w:r>
        <w:rPr>
          <w:rFonts w:hint="eastAsia" w:ascii="黑体" w:hAnsi="黑体" w:eastAsia="黑体" w:cs="黑体"/>
          <w:bCs/>
          <w:sz w:val="28"/>
          <w:szCs w:val="28"/>
          <w:lang w:val="en-US" w:eastAsia="zh-CN"/>
        </w:rPr>
        <w:t>1</w:t>
      </w:r>
      <w:r>
        <w:rPr>
          <w:rFonts w:hint="eastAsia" w:ascii="黑体" w:hAnsi="黑体" w:eastAsia="黑体" w:cs="黑体"/>
          <w:bCs/>
          <w:sz w:val="28"/>
          <w:szCs w:val="28"/>
        </w:rPr>
        <w:t>：</w:t>
      </w:r>
      <w:r>
        <w:rPr>
          <w:rFonts w:hint="eastAsia" w:ascii="黑体" w:hAnsi="黑体" w:eastAsia="黑体" w:cs="黑体"/>
          <w:b/>
          <w:sz w:val="30"/>
          <w:szCs w:val="30"/>
        </w:rPr>
        <w:t xml:space="preserve"> </w:t>
      </w:r>
      <w:r>
        <w:rPr>
          <w:rFonts w:hint="eastAsia" w:ascii="仿宋" w:hAnsi="仿宋" w:eastAsia="仿宋"/>
          <w:b/>
          <w:sz w:val="28"/>
          <w:szCs w:val="28"/>
        </w:rPr>
        <w:t xml:space="preserve">         </w:t>
      </w:r>
    </w:p>
    <w:p w14:paraId="43E0565F">
      <w:pPr>
        <w:jc w:val="center"/>
        <w:rPr>
          <w:rFonts w:ascii="仿宋" w:hAnsi="仿宋" w:eastAsia="仿宋"/>
          <w:b/>
          <w:sz w:val="36"/>
          <w:szCs w:val="36"/>
        </w:rPr>
      </w:pPr>
      <w:r>
        <w:rPr>
          <w:rFonts w:hint="eastAsia" w:ascii="仿宋" w:hAnsi="仿宋" w:eastAsia="仿宋"/>
          <w:b/>
          <w:sz w:val="36"/>
          <w:szCs w:val="36"/>
        </w:rPr>
        <w:t>危险废物包装技术要求</w:t>
      </w:r>
    </w:p>
    <w:p w14:paraId="0AA6A75D">
      <w:pPr>
        <w:rPr>
          <w:rFonts w:ascii="仿宋" w:hAnsi="仿宋" w:eastAsia="仿宋"/>
          <w:b/>
          <w:sz w:val="28"/>
          <w:szCs w:val="28"/>
        </w:rPr>
      </w:pPr>
    </w:p>
    <w:p w14:paraId="12586BB3">
      <w:pPr>
        <w:spacing w:line="400" w:lineRule="exact"/>
        <w:ind w:firstLine="560" w:firstLineChars="200"/>
        <w:rPr>
          <w:rFonts w:ascii="黑体" w:hAnsi="黑体" w:eastAsia="黑体" w:cs="黑体"/>
          <w:sz w:val="28"/>
          <w:szCs w:val="28"/>
        </w:rPr>
      </w:pPr>
      <w:r>
        <w:rPr>
          <w:rFonts w:hint="eastAsia" w:ascii="黑体" w:hAnsi="黑体" w:eastAsia="黑体" w:cs="黑体"/>
          <w:sz w:val="28"/>
          <w:szCs w:val="28"/>
        </w:rPr>
        <w:t>一、一般要求</w:t>
      </w:r>
    </w:p>
    <w:p w14:paraId="2685783B">
      <w:pPr>
        <w:spacing w:line="400" w:lineRule="exact"/>
        <w:ind w:firstLine="480" w:firstLineChars="200"/>
        <w:rPr>
          <w:rFonts w:ascii="仿宋" w:hAnsi="仿宋" w:eastAsia="仿宋"/>
          <w:sz w:val="24"/>
          <w:szCs w:val="24"/>
        </w:rPr>
      </w:pPr>
      <w:r>
        <w:rPr>
          <w:rFonts w:hint="eastAsia" w:ascii="楷体" w:hAnsi="楷体" w:eastAsia="楷体" w:cs="楷体"/>
          <w:sz w:val="24"/>
          <w:szCs w:val="24"/>
        </w:rPr>
        <w:t>（一）</w:t>
      </w:r>
      <w:r>
        <w:rPr>
          <w:rFonts w:hint="eastAsia" w:ascii="仿宋" w:hAnsi="仿宋" w:eastAsia="仿宋"/>
          <w:sz w:val="24"/>
          <w:szCs w:val="24"/>
        </w:rPr>
        <w:t>液体、半固态危险废物采用未破损的密封桶包装，包装桶的材质为钢、铁和高密度塑料，选用的包装容器不能与所装的危险废物发生化学反应。所装液态物质的液面须距桶盖10cm，每桶总重量不能超过200公斤。</w:t>
      </w:r>
    </w:p>
    <w:p w14:paraId="7347C8A1">
      <w:pPr>
        <w:spacing w:line="400" w:lineRule="exact"/>
        <w:ind w:firstLine="480" w:firstLineChars="200"/>
        <w:rPr>
          <w:rFonts w:ascii="仿宋" w:hAnsi="仿宋" w:eastAsia="仿宋"/>
          <w:sz w:val="24"/>
          <w:szCs w:val="24"/>
        </w:rPr>
      </w:pPr>
      <w:r>
        <w:rPr>
          <w:rFonts w:hint="eastAsia" w:ascii="楷体" w:hAnsi="楷体" w:eastAsia="楷体" w:cs="楷体"/>
          <w:sz w:val="24"/>
          <w:szCs w:val="24"/>
        </w:rPr>
        <w:t>（二）</w:t>
      </w:r>
      <w:r>
        <w:rPr>
          <w:rFonts w:hint="eastAsia" w:ascii="仿宋" w:hAnsi="仿宋" w:eastAsia="仿宋"/>
          <w:sz w:val="24"/>
          <w:szCs w:val="24"/>
        </w:rPr>
        <w:t>对于一般性、化学性质相对稳定的固体、半固体（含水率低，即不产生明显滴漏）的危险废物可采用中度强度以上的不破损的塑料编织袋进行包装。装袋完毕，封口严实。每袋总重量不超过50公斤。</w:t>
      </w:r>
    </w:p>
    <w:p w14:paraId="44611AB5">
      <w:pPr>
        <w:spacing w:line="400" w:lineRule="exact"/>
        <w:ind w:firstLine="480" w:firstLineChars="200"/>
        <w:rPr>
          <w:rFonts w:ascii="仿宋" w:hAnsi="仿宋" w:eastAsia="仿宋"/>
          <w:sz w:val="24"/>
          <w:szCs w:val="24"/>
        </w:rPr>
      </w:pPr>
      <w:r>
        <w:rPr>
          <w:rFonts w:hint="eastAsia" w:ascii="楷体" w:hAnsi="楷体" w:eastAsia="楷体" w:cs="楷体"/>
          <w:sz w:val="24"/>
          <w:szCs w:val="24"/>
        </w:rPr>
        <w:t>（三）</w:t>
      </w:r>
      <w:r>
        <w:rPr>
          <w:rFonts w:hint="eastAsia" w:ascii="仿宋" w:hAnsi="仿宋" w:eastAsia="仿宋"/>
          <w:sz w:val="24"/>
          <w:szCs w:val="24"/>
        </w:rPr>
        <w:t>危险废物包装完成后，须按要求填写完整危险废物标签内容，并在其包装物上粘贴完好。</w:t>
      </w:r>
    </w:p>
    <w:p w14:paraId="2F70C539">
      <w:pPr>
        <w:spacing w:line="400" w:lineRule="exact"/>
        <w:ind w:firstLine="480" w:firstLineChars="200"/>
        <w:rPr>
          <w:rFonts w:ascii="仿宋" w:hAnsi="仿宋" w:eastAsia="仿宋"/>
          <w:sz w:val="28"/>
          <w:szCs w:val="28"/>
        </w:rPr>
      </w:pPr>
      <w:r>
        <w:rPr>
          <w:rFonts w:hint="eastAsia" w:ascii="楷体" w:hAnsi="楷体" w:eastAsia="楷体" w:cs="楷体"/>
          <w:sz w:val="24"/>
          <w:szCs w:val="24"/>
        </w:rPr>
        <w:t>（四）</w:t>
      </w:r>
      <w:r>
        <w:rPr>
          <w:rFonts w:hint="eastAsia" w:ascii="仿宋" w:hAnsi="仿宋" w:eastAsia="仿宋"/>
          <w:sz w:val="24"/>
          <w:szCs w:val="24"/>
        </w:rPr>
        <w:t>电镀污泥应按电镀工艺类型用塑料编织袋分类进行包装。</w:t>
      </w:r>
      <w:r>
        <w:rPr>
          <w:rFonts w:hint="eastAsia" w:ascii="仿宋" w:hAnsi="仿宋" w:eastAsia="仿宋"/>
          <w:sz w:val="28"/>
          <w:szCs w:val="28"/>
        </w:rPr>
        <w:t xml:space="preserve"> </w:t>
      </w:r>
    </w:p>
    <w:p w14:paraId="56A4B944">
      <w:pPr>
        <w:spacing w:line="400" w:lineRule="exact"/>
        <w:ind w:firstLine="560" w:firstLineChars="200"/>
        <w:rPr>
          <w:rFonts w:ascii="黑体" w:hAnsi="黑体" w:eastAsia="黑体" w:cs="黑体"/>
          <w:sz w:val="28"/>
          <w:szCs w:val="28"/>
        </w:rPr>
      </w:pPr>
      <w:r>
        <w:rPr>
          <w:rFonts w:hint="eastAsia" w:ascii="黑体" w:hAnsi="黑体" w:eastAsia="黑体" w:cs="黑体"/>
          <w:sz w:val="28"/>
          <w:szCs w:val="28"/>
        </w:rPr>
        <w:t>二、特殊要求</w:t>
      </w:r>
    </w:p>
    <w:p w14:paraId="3EA07860">
      <w:pPr>
        <w:spacing w:line="400" w:lineRule="exact"/>
        <w:ind w:firstLine="480" w:firstLineChars="200"/>
        <w:rPr>
          <w:rFonts w:ascii="仿宋" w:hAnsi="仿宋" w:eastAsia="仿宋"/>
          <w:sz w:val="24"/>
          <w:szCs w:val="24"/>
        </w:rPr>
      </w:pPr>
      <w:r>
        <w:rPr>
          <w:rFonts w:hint="eastAsia" w:ascii="楷体" w:hAnsi="楷体" w:eastAsia="楷体" w:cs="楷体"/>
          <w:sz w:val="24"/>
          <w:szCs w:val="24"/>
        </w:rPr>
        <w:t>（一）</w:t>
      </w:r>
      <w:r>
        <w:rPr>
          <w:rFonts w:hint="eastAsia" w:ascii="仿宋" w:hAnsi="仿宋" w:eastAsia="仿宋"/>
          <w:sz w:val="24"/>
          <w:szCs w:val="24"/>
        </w:rPr>
        <w:t>对于高腐蚀性的危险废物，必须选用耐腐蚀性强的包装材质，口盖必须封闭严密。</w:t>
      </w:r>
    </w:p>
    <w:p w14:paraId="2D907BFF">
      <w:pPr>
        <w:spacing w:line="400" w:lineRule="exact"/>
        <w:ind w:firstLine="480" w:firstLineChars="200"/>
        <w:rPr>
          <w:rFonts w:ascii="仿宋" w:hAnsi="仿宋" w:eastAsia="仿宋"/>
          <w:sz w:val="24"/>
          <w:szCs w:val="24"/>
        </w:rPr>
      </w:pPr>
      <w:r>
        <w:rPr>
          <w:rFonts w:hint="eastAsia" w:ascii="楷体" w:hAnsi="楷体" w:eastAsia="楷体" w:cs="楷体"/>
          <w:bCs/>
          <w:sz w:val="24"/>
          <w:szCs w:val="24"/>
        </w:rPr>
        <w:t>（</w:t>
      </w:r>
      <w:r>
        <w:rPr>
          <w:rFonts w:hint="eastAsia" w:ascii="楷体" w:hAnsi="楷体" w:eastAsia="楷体" w:cs="楷体"/>
          <w:sz w:val="24"/>
          <w:szCs w:val="24"/>
        </w:rPr>
        <w:t>二）</w:t>
      </w:r>
      <w:r>
        <w:rPr>
          <w:rFonts w:hint="eastAsia" w:ascii="仿宋" w:hAnsi="仿宋" w:eastAsia="仿宋"/>
          <w:sz w:val="24"/>
          <w:szCs w:val="24"/>
        </w:rPr>
        <w:t>对于易燃易爆的危险废物，必须选用气密性、抗爆性能良好的包装材质。</w:t>
      </w:r>
    </w:p>
    <w:p w14:paraId="7B281895">
      <w:pPr>
        <w:spacing w:line="400" w:lineRule="exact"/>
        <w:ind w:firstLine="480" w:firstLineChars="200"/>
        <w:rPr>
          <w:rFonts w:ascii="仿宋" w:hAnsi="仿宋" w:eastAsia="仿宋" w:cs="仿宋"/>
          <w:bCs/>
          <w:sz w:val="24"/>
          <w:szCs w:val="24"/>
        </w:rPr>
      </w:pPr>
      <w:r>
        <w:rPr>
          <w:rFonts w:hint="eastAsia" w:ascii="楷体" w:hAnsi="楷体" w:eastAsia="楷体" w:cs="楷体"/>
          <w:sz w:val="24"/>
          <w:szCs w:val="24"/>
        </w:rPr>
        <w:t>（三）</w:t>
      </w:r>
      <w:r>
        <w:rPr>
          <w:rFonts w:hint="eastAsia" w:ascii="仿宋" w:hAnsi="仿宋" w:eastAsia="仿宋" w:cs="仿宋"/>
          <w:b/>
          <w:bCs/>
          <w:sz w:val="24"/>
          <w:szCs w:val="24"/>
        </w:rPr>
        <w:t>暂不收运钢瓶等压力容器包装的危险废物，即钢瓶等压力容器包装的危险废物不适用于本合同</w:t>
      </w:r>
      <w:r>
        <w:rPr>
          <w:rFonts w:hint="eastAsia" w:ascii="仿宋" w:hAnsi="仿宋" w:eastAsia="仿宋" w:cs="仿宋"/>
          <w:bCs/>
          <w:sz w:val="24"/>
          <w:szCs w:val="24"/>
        </w:rPr>
        <w:t>。</w:t>
      </w:r>
    </w:p>
    <w:p w14:paraId="4B14B6DB">
      <w:pPr>
        <w:spacing w:line="400" w:lineRule="exact"/>
        <w:rPr>
          <w:rFonts w:ascii="仿宋" w:hAnsi="仿宋" w:eastAsia="仿宋"/>
          <w:b/>
          <w:sz w:val="28"/>
          <w:szCs w:val="28"/>
        </w:rPr>
      </w:pPr>
      <w:r>
        <w:rPr>
          <w:rFonts w:ascii="仿宋" w:hAnsi="仿宋" w:eastAsia="仿宋"/>
          <w:b/>
          <w:sz w:val="28"/>
          <w:szCs w:val="28"/>
        </w:rPr>
        <w:br w:type="page"/>
      </w:r>
      <w:r>
        <w:rPr>
          <w:rFonts w:hint="eastAsia" w:ascii="黑体" w:hAnsi="黑体" w:eastAsia="黑体" w:cs="黑体"/>
          <w:bCs/>
          <w:sz w:val="28"/>
          <w:szCs w:val="28"/>
        </w:rPr>
        <w:t>附件</w:t>
      </w:r>
      <w:r>
        <w:rPr>
          <w:rFonts w:hint="eastAsia" w:ascii="黑体" w:hAnsi="黑体" w:eastAsia="黑体" w:cs="黑体"/>
          <w:bCs/>
          <w:sz w:val="28"/>
          <w:szCs w:val="28"/>
          <w:lang w:val="en-US" w:eastAsia="zh-CN"/>
        </w:rPr>
        <w:t>2</w:t>
      </w:r>
      <w:r>
        <w:rPr>
          <w:rFonts w:hint="eastAsia" w:ascii="黑体" w:hAnsi="黑体" w:eastAsia="黑体" w:cs="黑体"/>
          <w:bCs/>
          <w:sz w:val="28"/>
          <w:szCs w:val="28"/>
        </w:rPr>
        <w:t>：</w:t>
      </w:r>
      <w:r>
        <w:rPr>
          <w:rFonts w:hint="eastAsia" w:ascii="仿宋" w:hAnsi="仿宋" w:eastAsia="仿宋"/>
          <w:b/>
          <w:sz w:val="30"/>
          <w:szCs w:val="30"/>
        </w:rPr>
        <w:t xml:space="preserve"> </w:t>
      </w:r>
      <w:r>
        <w:rPr>
          <w:rFonts w:hint="eastAsia" w:ascii="仿宋" w:hAnsi="仿宋" w:eastAsia="仿宋"/>
          <w:b/>
          <w:sz w:val="28"/>
          <w:szCs w:val="28"/>
        </w:rPr>
        <w:t xml:space="preserve">             </w:t>
      </w:r>
    </w:p>
    <w:p w14:paraId="77D81C09">
      <w:pPr>
        <w:spacing w:line="400" w:lineRule="exact"/>
        <w:jc w:val="center"/>
        <w:rPr>
          <w:rFonts w:ascii="仿宋" w:hAnsi="仿宋" w:eastAsia="仿宋"/>
          <w:b/>
          <w:sz w:val="36"/>
          <w:szCs w:val="36"/>
        </w:rPr>
      </w:pPr>
      <w:r>
        <w:rPr>
          <w:rFonts w:hint="eastAsia" w:ascii="仿宋" w:hAnsi="仿宋" w:eastAsia="仿宋"/>
          <w:b/>
          <w:sz w:val="36"/>
          <w:szCs w:val="36"/>
        </w:rPr>
        <w:t>安全环保告知书</w:t>
      </w:r>
    </w:p>
    <w:p w14:paraId="35BB8F73">
      <w:pPr>
        <w:spacing w:line="400" w:lineRule="exact"/>
        <w:rPr>
          <w:rFonts w:ascii="仿宋" w:hAnsi="仿宋" w:eastAsia="仿宋"/>
          <w:b/>
          <w:sz w:val="36"/>
          <w:szCs w:val="36"/>
        </w:rPr>
      </w:pPr>
    </w:p>
    <w:p w14:paraId="23CB6248">
      <w:pPr>
        <w:spacing w:line="400" w:lineRule="exact"/>
        <w:rPr>
          <w:rFonts w:ascii="仿宋" w:hAnsi="仿宋" w:eastAsia="仿宋"/>
          <w:sz w:val="24"/>
          <w:szCs w:val="24"/>
        </w:rPr>
      </w:pPr>
      <w:r>
        <w:rPr>
          <w:rFonts w:hint="eastAsia" w:ascii="仿宋" w:hAnsi="仿宋" w:eastAsia="仿宋"/>
          <w:sz w:val="24"/>
          <w:szCs w:val="24"/>
        </w:rPr>
        <w:t>尊敬的</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sz w:val="24"/>
          <w:szCs w:val="24"/>
        </w:rPr>
        <w:t>，您好：</w:t>
      </w:r>
    </w:p>
    <w:p w14:paraId="0526798C">
      <w:pPr>
        <w:spacing w:line="400" w:lineRule="exact"/>
        <w:rPr>
          <w:rFonts w:ascii="仿宋" w:hAnsi="仿宋" w:eastAsia="仿宋"/>
          <w:sz w:val="24"/>
          <w:szCs w:val="24"/>
        </w:rPr>
      </w:pPr>
      <w:r>
        <w:rPr>
          <w:rFonts w:hint="eastAsia" w:ascii="仿宋" w:hAnsi="仿宋" w:eastAsia="仿宋"/>
          <w:sz w:val="24"/>
          <w:szCs w:val="24"/>
        </w:rPr>
        <w:t xml:space="preserve">    首先感谢贵单位对我公司的信任，将危险废物交由我公司进行无害化处置，感谢贵单位的支持与信任保证废物在收集、运输、贮存、处置过程中的安全，请您认真阅读以下安全提示。恳请贵单位能够配合我司落实废物分类收集和临时贮存的相关安全工作，以此确保收集、运输、处置过程中人员和设备的安全。有关事项提示如下：</w:t>
      </w:r>
    </w:p>
    <w:p w14:paraId="4CB3440B">
      <w:pPr>
        <w:spacing w:line="400" w:lineRule="exact"/>
        <w:ind w:firstLine="480" w:firstLineChars="200"/>
        <w:rPr>
          <w:rFonts w:ascii="黑体" w:hAnsi="黑体" w:eastAsia="黑体" w:cs="黑体"/>
          <w:bCs/>
          <w:sz w:val="24"/>
          <w:szCs w:val="24"/>
        </w:rPr>
      </w:pPr>
      <w:r>
        <w:rPr>
          <w:rFonts w:hint="eastAsia" w:ascii="黑体" w:hAnsi="黑体" w:eastAsia="黑体" w:cs="黑体"/>
          <w:bCs/>
          <w:sz w:val="24"/>
          <w:szCs w:val="24"/>
        </w:rPr>
        <w:t>一、不混装混运危废与普通废物</w:t>
      </w:r>
    </w:p>
    <w:p w14:paraId="3385FFC6">
      <w:pPr>
        <w:spacing w:line="400" w:lineRule="exact"/>
        <w:ind w:firstLine="480" w:firstLineChars="200"/>
        <w:rPr>
          <w:rFonts w:ascii="仿宋" w:hAnsi="仿宋" w:eastAsia="仿宋"/>
          <w:sz w:val="24"/>
          <w:szCs w:val="24"/>
        </w:rPr>
      </w:pPr>
      <w:r>
        <w:rPr>
          <w:rFonts w:hint="eastAsia" w:ascii="仿宋" w:hAnsi="仿宋" w:eastAsia="仿宋"/>
          <w:sz w:val="24"/>
          <w:szCs w:val="24"/>
        </w:rPr>
        <w:t>在收集、贮存废物过程中，杜绝将具有自燃性、爆炸性、放射性、剧毒品、特殊高危物品、不明物等混入待转运的普通危险废物当中。</w:t>
      </w:r>
    </w:p>
    <w:p w14:paraId="134746CA">
      <w:pPr>
        <w:spacing w:line="400" w:lineRule="exact"/>
        <w:ind w:firstLine="480" w:firstLineChars="200"/>
        <w:rPr>
          <w:rFonts w:ascii="黑体" w:hAnsi="黑体" w:eastAsia="黑体" w:cs="黑体"/>
          <w:bCs/>
          <w:sz w:val="24"/>
          <w:szCs w:val="24"/>
        </w:rPr>
      </w:pPr>
      <w:r>
        <w:rPr>
          <w:rFonts w:hint="eastAsia" w:ascii="黑体" w:hAnsi="黑体" w:eastAsia="黑体" w:cs="黑体"/>
          <w:bCs/>
          <w:sz w:val="24"/>
          <w:szCs w:val="24"/>
        </w:rPr>
        <w:t>二、不混装混放不相容危废</w:t>
      </w:r>
    </w:p>
    <w:p w14:paraId="25FB4448">
      <w:pPr>
        <w:spacing w:line="400" w:lineRule="exact"/>
        <w:ind w:firstLine="480" w:firstLineChars="200"/>
        <w:rPr>
          <w:rFonts w:ascii="仿宋" w:hAnsi="仿宋" w:eastAsia="仿宋"/>
          <w:sz w:val="24"/>
          <w:szCs w:val="24"/>
        </w:rPr>
      </w:pPr>
      <w:r>
        <w:rPr>
          <w:rFonts w:hint="eastAsia" w:ascii="仿宋" w:hAnsi="仿宋" w:eastAsia="仿宋"/>
          <w:sz w:val="24"/>
          <w:szCs w:val="24"/>
        </w:rPr>
        <w:t>在收集、贮存废物过程中需在包装物明显位置注明废物名称和成分、特性、形态、禁忌与应急措施，杜绝与其它废物随意混存。酸碱要杜绝堆放在一起。有机溶剂等易燃物远离明火、高温以及强氧化性物质和活泼金属。</w:t>
      </w:r>
    </w:p>
    <w:p w14:paraId="17916FC5">
      <w:pPr>
        <w:spacing w:line="400" w:lineRule="exact"/>
        <w:ind w:firstLine="480" w:firstLineChars="200"/>
        <w:rPr>
          <w:rFonts w:ascii="楷体" w:hAnsi="楷体" w:eastAsia="楷体" w:cs="楷体"/>
          <w:bCs/>
          <w:sz w:val="24"/>
          <w:szCs w:val="24"/>
        </w:rPr>
      </w:pPr>
      <w:r>
        <w:rPr>
          <w:rFonts w:hint="eastAsia" w:ascii="黑体" w:hAnsi="黑体" w:eastAsia="黑体" w:cs="黑体"/>
          <w:bCs/>
          <w:sz w:val="24"/>
          <w:szCs w:val="24"/>
        </w:rPr>
        <w:t>三、车间、实验室废物贮存包装</w:t>
      </w:r>
    </w:p>
    <w:p w14:paraId="6B6A3B57">
      <w:pPr>
        <w:spacing w:line="400" w:lineRule="exact"/>
        <w:ind w:firstLine="480" w:firstLineChars="200"/>
        <w:rPr>
          <w:rFonts w:ascii="仿宋" w:hAnsi="仿宋" w:eastAsia="仿宋"/>
          <w:sz w:val="24"/>
          <w:szCs w:val="24"/>
        </w:rPr>
      </w:pPr>
      <w:r>
        <w:rPr>
          <w:rFonts w:hint="eastAsia" w:ascii="仿宋" w:hAnsi="仿宋" w:eastAsia="仿宋"/>
          <w:sz w:val="24"/>
          <w:szCs w:val="24"/>
        </w:rPr>
        <w:t>在车间和实验室收集危险废物时，请根据物理形态、主要成分、危险特性等进行分类收集和贮存。杜绝同一个包装物内混合收集不同形态、不同成分、不同特性的废物，杜绝生产、实验等现场人员随意将各种废物混乱放入同一个包装物内，杜绝贮存时各种危险废物混乱摆放。废物 贮存时建议每批各类废物有明确标识，说明该类废物主要成分、产生来源，以便后续装车运输 转移。</w:t>
      </w:r>
    </w:p>
    <w:p w14:paraId="13583451">
      <w:pPr>
        <w:spacing w:line="400" w:lineRule="exact"/>
        <w:ind w:firstLine="480" w:firstLineChars="200"/>
        <w:rPr>
          <w:rFonts w:ascii="黑体" w:hAnsi="黑体" w:eastAsia="黑体" w:cs="黑体"/>
          <w:bCs/>
          <w:sz w:val="24"/>
          <w:szCs w:val="24"/>
        </w:rPr>
      </w:pPr>
      <w:r>
        <w:rPr>
          <w:rFonts w:hint="eastAsia" w:ascii="黑体" w:hAnsi="黑体" w:eastAsia="黑体" w:cs="黑体"/>
          <w:bCs/>
          <w:sz w:val="24"/>
          <w:szCs w:val="24"/>
        </w:rPr>
        <w:t>四、科研机构、教育机构实验废液收集、包装</w:t>
      </w:r>
    </w:p>
    <w:p w14:paraId="44AA24FE">
      <w:pPr>
        <w:spacing w:line="400" w:lineRule="exact"/>
        <w:ind w:firstLine="480" w:firstLineChars="200"/>
        <w:rPr>
          <w:rFonts w:ascii="仿宋" w:hAnsi="仿宋" w:eastAsia="仿宋"/>
          <w:sz w:val="24"/>
          <w:szCs w:val="24"/>
        </w:rPr>
      </w:pPr>
      <w:r>
        <w:rPr>
          <w:rFonts w:hint="eastAsia" w:ascii="仿宋" w:hAnsi="仿宋" w:eastAsia="仿宋"/>
          <w:sz w:val="24"/>
          <w:szCs w:val="24"/>
        </w:rPr>
        <w:t>科研院所及学校实验室实验过程中产生混合废液时，收集过程中应如实确认废液主要成分，并在包装物明显位置注明该主要成分和特性、形态、禁忌与应急措施，以及重要安全提示。杜绝废液收集后无标识， 无信息，无法直观确认废液的主要成分和危险特性。化学试剂原有标签应尽量保存完好，或重新张贴标签说明化学名称；如为废瓶盛装其他废化学试剂或者实验废液，请张贴新标签并说明 主要成分。</w:t>
      </w:r>
    </w:p>
    <w:p w14:paraId="3FDB6280">
      <w:pPr>
        <w:spacing w:line="400" w:lineRule="exact"/>
        <w:ind w:firstLine="480" w:firstLineChars="200"/>
        <w:rPr>
          <w:rFonts w:ascii="黑体" w:hAnsi="黑体" w:eastAsia="黑体" w:cs="黑体"/>
          <w:bCs/>
          <w:sz w:val="24"/>
          <w:szCs w:val="24"/>
        </w:rPr>
      </w:pPr>
      <w:r>
        <w:rPr>
          <w:rFonts w:hint="eastAsia" w:ascii="黑体" w:hAnsi="黑体" w:eastAsia="黑体" w:cs="黑体"/>
          <w:bCs/>
          <w:sz w:val="24"/>
          <w:szCs w:val="24"/>
        </w:rPr>
        <w:t>五、废化学试剂及包装</w:t>
      </w:r>
    </w:p>
    <w:p w14:paraId="2456D6B2">
      <w:pPr>
        <w:spacing w:line="400" w:lineRule="exact"/>
        <w:ind w:firstLine="480" w:firstLineChars="200"/>
        <w:rPr>
          <w:rFonts w:ascii="仿宋" w:hAnsi="仿宋" w:eastAsia="仿宋"/>
          <w:sz w:val="24"/>
          <w:szCs w:val="24"/>
        </w:rPr>
      </w:pPr>
      <w:r>
        <w:rPr>
          <w:rFonts w:hint="eastAsia" w:ascii="仿宋" w:hAnsi="仿宋" w:eastAsia="仿宋"/>
          <w:sz w:val="24"/>
          <w:szCs w:val="24"/>
        </w:rPr>
        <w:t>在收集瓶装废化学试剂和空瓶时，确保试剂瓶体有试剂名称标签，确保同一性质的试剂放入同一包装箱内，试剂和空瓶均采用纸箱和木箱收集，在收集装箱过程中做到正置码放，确保瓶体完好，瓶口有盖。杜绝有机物和无机物的混放，杜绝酸碱混放，杜绝可能发生剧烈反映的物质 混放。杜绝将试剂瓶倾倒无序摆放，杜绝试剂空瓶采用编织袋和空桶无序收集存放。</w:t>
      </w:r>
    </w:p>
    <w:p w14:paraId="103D50F9">
      <w:pPr>
        <w:spacing w:line="400" w:lineRule="exact"/>
        <w:ind w:firstLine="480" w:firstLineChars="200"/>
        <w:rPr>
          <w:rFonts w:ascii="黑体" w:hAnsi="黑体" w:eastAsia="黑体" w:cs="黑体"/>
          <w:bCs/>
          <w:sz w:val="24"/>
          <w:szCs w:val="24"/>
        </w:rPr>
      </w:pPr>
      <w:r>
        <w:rPr>
          <w:rFonts w:hint="eastAsia" w:ascii="黑体" w:hAnsi="黑体" w:eastAsia="黑体" w:cs="黑体"/>
          <w:bCs/>
          <w:sz w:val="24"/>
          <w:szCs w:val="24"/>
        </w:rPr>
        <w:t>六、废液类废物收集贮存</w:t>
      </w:r>
    </w:p>
    <w:p w14:paraId="1FACDF3C">
      <w:pPr>
        <w:spacing w:line="400" w:lineRule="exact"/>
        <w:ind w:firstLine="480" w:firstLineChars="200"/>
        <w:rPr>
          <w:rFonts w:ascii="仿宋" w:hAnsi="仿宋" w:eastAsia="仿宋"/>
          <w:sz w:val="24"/>
          <w:szCs w:val="24"/>
        </w:rPr>
      </w:pPr>
      <w:r>
        <w:rPr>
          <w:rFonts w:hint="eastAsia" w:ascii="仿宋" w:hAnsi="仿宋" w:eastAsia="仿宋"/>
          <w:sz w:val="24"/>
          <w:szCs w:val="24"/>
        </w:rPr>
        <w:t>废乳化液、废酸液、废碱液等废液类废物时，须注明废液的主要成分和安全禁忌，同时杜绝不相容的废液混合，确保选择相适应的完好包装物。</w:t>
      </w:r>
    </w:p>
    <w:p w14:paraId="3894ECBF">
      <w:pPr>
        <w:spacing w:line="400" w:lineRule="exact"/>
        <w:ind w:firstLine="480" w:firstLineChars="200"/>
        <w:rPr>
          <w:rFonts w:ascii="黑体" w:hAnsi="黑体" w:eastAsia="黑体" w:cs="黑体"/>
          <w:bCs/>
          <w:sz w:val="24"/>
          <w:szCs w:val="24"/>
        </w:rPr>
      </w:pPr>
      <w:r>
        <w:rPr>
          <w:rFonts w:hint="eastAsia" w:ascii="黑体" w:hAnsi="黑体" w:eastAsia="黑体" w:cs="黑体"/>
          <w:bCs/>
          <w:sz w:val="24"/>
          <w:szCs w:val="24"/>
        </w:rPr>
        <w:t>七、固态、半固态废物收集贮存</w:t>
      </w:r>
    </w:p>
    <w:p w14:paraId="2010B1CA">
      <w:pPr>
        <w:spacing w:line="400" w:lineRule="exact"/>
        <w:ind w:firstLine="480" w:firstLineChars="200"/>
        <w:rPr>
          <w:rFonts w:ascii="仿宋" w:hAnsi="仿宋" w:eastAsia="仿宋"/>
          <w:sz w:val="24"/>
          <w:szCs w:val="24"/>
        </w:rPr>
      </w:pPr>
      <w:r>
        <w:rPr>
          <w:rFonts w:hint="eastAsia" w:ascii="仿宋" w:hAnsi="仿宋" w:eastAsia="仿宋"/>
          <w:sz w:val="24"/>
          <w:szCs w:val="24"/>
        </w:rPr>
        <w:t>电镀、涂装、水处理等生产过程中产生的漆渣、污泥、残渣等固态、半固态废物中不得混入其它废物，确保物质的单一性；杜绝将手套、棉丝等垃圾、螺丝螺母、铁丝、塑料块、木块、 石块、混凝土等坚硬杂物混入待运输处置的废物当中。</w:t>
      </w:r>
    </w:p>
    <w:p w14:paraId="3D6CB398">
      <w:pPr>
        <w:spacing w:line="400" w:lineRule="exact"/>
        <w:ind w:firstLine="480" w:firstLineChars="200"/>
        <w:rPr>
          <w:rFonts w:ascii="黑体" w:hAnsi="黑体" w:eastAsia="黑体" w:cs="黑体"/>
          <w:bCs/>
          <w:sz w:val="24"/>
          <w:szCs w:val="24"/>
        </w:rPr>
      </w:pPr>
      <w:r>
        <w:rPr>
          <w:rFonts w:hint="eastAsia" w:ascii="黑体" w:hAnsi="黑体" w:eastAsia="黑体" w:cs="黑体"/>
          <w:bCs/>
          <w:sz w:val="24"/>
          <w:szCs w:val="24"/>
        </w:rPr>
        <w:t>八、粘稠状危废收集贮存</w:t>
      </w:r>
    </w:p>
    <w:p w14:paraId="0BBD229D">
      <w:pPr>
        <w:spacing w:line="400" w:lineRule="exact"/>
        <w:ind w:firstLine="480" w:firstLineChars="200"/>
        <w:rPr>
          <w:rFonts w:ascii="仿宋" w:hAnsi="仿宋" w:eastAsia="仿宋"/>
          <w:sz w:val="24"/>
          <w:szCs w:val="24"/>
        </w:rPr>
      </w:pPr>
      <w:r>
        <w:rPr>
          <w:rFonts w:hint="eastAsia" w:ascii="仿宋" w:hAnsi="仿宋" w:eastAsia="仿宋"/>
          <w:sz w:val="24"/>
          <w:szCs w:val="24"/>
        </w:rPr>
        <w:t>在收集废胶、树脂、油墨等粘稠状危险废物废料时，确保物质的单一性和稳定性，尽量避免上述废物凝固在铁桶或塑料桶等包装物内形成不易分割的大块。杜绝将手套、棉丝等废品垃圾、 铁块、塑料块、木块、石块、混凝土等坚硬杂物混入待运输处置的废物。</w:t>
      </w:r>
    </w:p>
    <w:p w14:paraId="6521CC04">
      <w:pPr>
        <w:spacing w:line="400" w:lineRule="exact"/>
        <w:ind w:firstLine="480" w:firstLineChars="200"/>
        <w:rPr>
          <w:rFonts w:ascii="黑体" w:hAnsi="黑体" w:eastAsia="黑体" w:cs="黑体"/>
          <w:bCs/>
          <w:sz w:val="24"/>
          <w:szCs w:val="24"/>
        </w:rPr>
      </w:pPr>
      <w:r>
        <w:rPr>
          <w:rFonts w:hint="eastAsia" w:ascii="黑体" w:hAnsi="黑体" w:eastAsia="黑体" w:cs="黑体"/>
          <w:bCs/>
          <w:sz w:val="24"/>
          <w:szCs w:val="24"/>
        </w:rPr>
        <w:t>九、有机溶剂收集禁忌</w:t>
      </w:r>
    </w:p>
    <w:p w14:paraId="6056403C">
      <w:pPr>
        <w:spacing w:line="400" w:lineRule="exact"/>
        <w:ind w:firstLine="480" w:firstLineChars="200"/>
        <w:rPr>
          <w:rFonts w:ascii="仿宋" w:hAnsi="仿宋" w:eastAsia="仿宋"/>
          <w:sz w:val="24"/>
          <w:szCs w:val="24"/>
        </w:rPr>
      </w:pPr>
      <w:r>
        <w:rPr>
          <w:rFonts w:hint="eastAsia" w:ascii="仿宋" w:hAnsi="仿宋" w:eastAsia="仿宋"/>
          <w:sz w:val="24"/>
          <w:szCs w:val="24"/>
        </w:rPr>
        <w:t>在实验和生产过程中产生的沾染废溶剂、废油、废漆、废墨等有机废物垃圾时，杜绝混入易燃、 易爆、有毒、有害危险品；杜绝将铁块、塑料块、木块、石块、混凝土等坚硬杂物混入有机溶剂废物中。</w:t>
      </w:r>
    </w:p>
    <w:p w14:paraId="30103A6A">
      <w:pPr>
        <w:spacing w:line="400" w:lineRule="exact"/>
        <w:ind w:firstLine="480" w:firstLineChars="200"/>
        <w:rPr>
          <w:rFonts w:ascii="黑体" w:hAnsi="黑体" w:eastAsia="黑体" w:cs="黑体"/>
          <w:bCs/>
          <w:sz w:val="24"/>
          <w:szCs w:val="24"/>
        </w:rPr>
      </w:pPr>
      <w:r>
        <w:rPr>
          <w:rFonts w:hint="eastAsia" w:ascii="黑体" w:hAnsi="黑体" w:eastAsia="黑体" w:cs="黑体"/>
          <w:bCs/>
          <w:sz w:val="24"/>
          <w:szCs w:val="24"/>
        </w:rPr>
        <w:t>十、特殊危废收集</w:t>
      </w:r>
    </w:p>
    <w:p w14:paraId="2AF52C57">
      <w:pPr>
        <w:spacing w:line="400" w:lineRule="exact"/>
        <w:ind w:firstLine="480" w:firstLineChars="200"/>
        <w:rPr>
          <w:rFonts w:ascii="仿宋" w:hAnsi="仿宋" w:eastAsia="仿宋"/>
          <w:sz w:val="24"/>
          <w:szCs w:val="24"/>
        </w:rPr>
      </w:pPr>
      <w:r>
        <w:rPr>
          <w:rFonts w:hint="eastAsia" w:ascii="仿宋" w:hAnsi="仿宋" w:eastAsia="仿宋"/>
          <w:sz w:val="24"/>
          <w:szCs w:val="24"/>
        </w:rPr>
        <w:t>在收集危险废物过程中，如遇易燃、易爆、剧毒、放射性、不明物等情况，请与我公司合同联系人联系，我们会尽快安全接收处置，坚决禁止欺瞒混放。</w:t>
      </w:r>
    </w:p>
    <w:p w14:paraId="15CDF1D8">
      <w:pPr>
        <w:spacing w:line="400" w:lineRule="exact"/>
        <w:ind w:firstLine="480" w:firstLineChars="200"/>
        <w:rPr>
          <w:rFonts w:ascii="仿宋" w:hAnsi="仿宋" w:eastAsia="仿宋"/>
          <w:sz w:val="24"/>
          <w:szCs w:val="24"/>
        </w:rPr>
      </w:pPr>
      <w:r>
        <w:rPr>
          <w:rFonts w:hint="eastAsia" w:ascii="仿宋" w:hAnsi="仿宋" w:eastAsia="仿宋"/>
          <w:sz w:val="24"/>
          <w:szCs w:val="24"/>
        </w:rPr>
        <w:t>废物转运前，需落实本次转运废物的种类、数量、安全包装情况等；按种类和数量申请有效的危险废物转移联单并加盖公章，确保转运工作正常进行。</w:t>
      </w:r>
    </w:p>
    <w:p w14:paraId="0C593D44">
      <w:pPr>
        <w:spacing w:line="400" w:lineRule="exact"/>
        <w:ind w:firstLine="480" w:firstLineChars="200"/>
        <w:rPr>
          <w:rFonts w:ascii="仿宋" w:hAnsi="仿宋" w:eastAsia="仿宋"/>
          <w:sz w:val="24"/>
          <w:szCs w:val="24"/>
        </w:rPr>
      </w:pPr>
      <w:r>
        <w:rPr>
          <w:rFonts w:hint="eastAsia" w:ascii="仿宋" w:hAnsi="仿宋" w:eastAsia="仿宋"/>
          <w:sz w:val="24"/>
          <w:szCs w:val="24"/>
        </w:rPr>
        <w:t>为了保护人身安全，安全处置危险废物，请认真落实本提示的相关内容，若落实该项工作有特殊困难，请与我公司联系解决。若给您日常工作带来不便，敬请谅解。</w:t>
      </w:r>
    </w:p>
    <w:p w14:paraId="3B724F6F">
      <w:pPr>
        <w:spacing w:line="400" w:lineRule="exact"/>
        <w:rPr>
          <w:rFonts w:ascii="仿宋" w:hAnsi="仿宋" w:eastAsia="仿宋"/>
          <w:sz w:val="24"/>
          <w:szCs w:val="24"/>
        </w:rPr>
      </w:pPr>
    </w:p>
    <w:p w14:paraId="040A1DA5">
      <w:pPr>
        <w:spacing w:line="400" w:lineRule="exact"/>
        <w:rPr>
          <w:rFonts w:ascii="仿宋" w:hAnsi="仿宋" w:eastAsia="仿宋"/>
          <w:sz w:val="24"/>
          <w:szCs w:val="24"/>
        </w:rPr>
      </w:pPr>
      <w:r>
        <w:rPr>
          <w:rFonts w:hint="eastAsia" w:ascii="仿宋" w:hAnsi="仿宋" w:eastAsia="仿宋"/>
          <w:sz w:val="24"/>
          <w:szCs w:val="24"/>
        </w:rPr>
        <w:t>甲方/被告知人（盖章）</w:t>
      </w:r>
      <w:r>
        <w:rPr>
          <w:rFonts w:hint="eastAsia" w:ascii="仿宋" w:hAnsi="仿宋" w:eastAsia="仿宋"/>
          <w:sz w:val="24"/>
          <w:szCs w:val="24"/>
        </w:rPr>
        <w:tab/>
      </w:r>
      <w:r>
        <w:rPr>
          <w:rFonts w:hint="eastAsia" w:ascii="仿宋" w:hAnsi="仿宋" w:eastAsia="仿宋"/>
          <w:sz w:val="24"/>
          <w:szCs w:val="24"/>
        </w:rPr>
        <w:t xml:space="preserve">                乙方/告知人（盖章）</w:t>
      </w:r>
    </w:p>
    <w:p w14:paraId="60A3CEA2">
      <w:pPr>
        <w:spacing w:line="400" w:lineRule="exact"/>
        <w:rPr>
          <w:rFonts w:ascii="仿宋" w:hAnsi="仿宋" w:eastAsia="仿宋"/>
          <w:sz w:val="24"/>
          <w:szCs w:val="24"/>
        </w:rPr>
      </w:pPr>
      <w:r>
        <w:rPr>
          <w:rFonts w:hint="eastAsia" w:ascii="仿宋" w:hAnsi="仿宋" w:eastAsia="仿宋"/>
          <w:sz w:val="24"/>
          <w:szCs w:val="24"/>
        </w:rPr>
        <w:t xml:space="preserve"> </w:t>
      </w:r>
    </w:p>
    <w:p w14:paraId="622A64BF">
      <w:pPr>
        <w:spacing w:line="400" w:lineRule="exact"/>
        <w:rPr>
          <w:rFonts w:ascii="仿宋" w:hAnsi="仿宋" w:eastAsia="仿宋"/>
          <w:sz w:val="24"/>
          <w:szCs w:val="24"/>
        </w:rPr>
      </w:pPr>
      <w:r>
        <w:rPr>
          <w:rFonts w:hint="eastAsia" w:ascii="仿宋" w:hAnsi="仿宋" w:eastAsia="仿宋"/>
          <w:sz w:val="24"/>
          <w:szCs w:val="24"/>
        </w:rPr>
        <w:t>签字：</w:t>
      </w:r>
      <w:r>
        <w:rPr>
          <w:rFonts w:hint="eastAsia" w:ascii="仿宋" w:hAnsi="仿宋" w:eastAsia="仿宋"/>
          <w:sz w:val="24"/>
          <w:szCs w:val="24"/>
        </w:rPr>
        <w:tab/>
      </w:r>
      <w:r>
        <w:rPr>
          <w:rFonts w:hint="eastAsia" w:ascii="仿宋" w:hAnsi="仿宋" w:eastAsia="仿宋"/>
          <w:sz w:val="24"/>
          <w:szCs w:val="24"/>
        </w:rPr>
        <w:t xml:space="preserve">                                 签字：</w:t>
      </w:r>
    </w:p>
    <w:p w14:paraId="080FB3B2">
      <w:pPr>
        <w:spacing w:line="400" w:lineRule="exact"/>
        <w:rPr>
          <w:rFonts w:ascii="仿宋" w:hAnsi="仿宋" w:eastAsia="仿宋"/>
          <w:sz w:val="24"/>
          <w:szCs w:val="24"/>
        </w:rPr>
      </w:pPr>
    </w:p>
    <w:p w14:paraId="18E42D05">
      <w:pPr>
        <w:spacing w:line="400" w:lineRule="exact"/>
        <w:ind w:left="298" w:leftChars="142" w:firstLine="1200" w:firstLineChars="500"/>
        <w:rPr>
          <w:rFonts w:ascii="仿宋" w:hAnsi="仿宋" w:eastAsia="仿宋"/>
          <w:sz w:val="24"/>
          <w:szCs w:val="24"/>
        </w:rPr>
      </w:pPr>
      <w:r>
        <w:rPr>
          <w:rFonts w:ascii="仿宋" w:hAnsi="仿宋" w:eastAsia="仿宋"/>
          <w:sz w:val="24"/>
          <w:szCs w:val="24"/>
        </w:rPr>
        <w:t>年</w:t>
      </w:r>
      <w:r>
        <w:rPr>
          <w:rFonts w:hint="eastAsia" w:ascii="仿宋" w:hAnsi="仿宋" w:eastAsia="仿宋"/>
          <w:sz w:val="24"/>
          <w:szCs w:val="24"/>
        </w:rPr>
        <w:t xml:space="preserve">   月  日                              年   月   日</w:t>
      </w:r>
    </w:p>
    <w:p w14:paraId="5AA75D56">
      <w:pPr>
        <w:spacing w:line="360" w:lineRule="exact"/>
        <w:rPr>
          <w:rFonts w:ascii="仿宋" w:hAnsi="仿宋" w:eastAsia="仿宋"/>
          <w:b/>
          <w:sz w:val="24"/>
          <w:szCs w:val="24"/>
        </w:rPr>
      </w:pPr>
      <w:r>
        <w:rPr>
          <w:rFonts w:hint="eastAsia" w:ascii="仿宋" w:hAnsi="仿宋" w:eastAsia="仿宋"/>
          <w:sz w:val="24"/>
          <w:szCs w:val="24"/>
        </w:rPr>
        <w:br w:type="page"/>
      </w:r>
      <w:r>
        <w:rPr>
          <w:rFonts w:hint="eastAsia" w:ascii="黑体" w:hAnsi="黑体" w:eastAsia="黑体" w:cs="黑体"/>
          <w:bCs/>
          <w:sz w:val="28"/>
          <w:szCs w:val="28"/>
        </w:rPr>
        <w:t>附件</w:t>
      </w:r>
      <w:r>
        <w:rPr>
          <w:rFonts w:hint="eastAsia" w:ascii="黑体" w:hAnsi="黑体" w:eastAsia="黑体" w:cs="黑体"/>
          <w:bCs/>
          <w:sz w:val="28"/>
          <w:szCs w:val="28"/>
          <w:lang w:val="en-US" w:eastAsia="zh-CN"/>
        </w:rPr>
        <w:t>3</w:t>
      </w:r>
      <w:r>
        <w:rPr>
          <w:rFonts w:hint="eastAsia" w:ascii="黑体" w:hAnsi="黑体" w:eastAsia="黑体" w:cs="黑体"/>
          <w:bCs/>
          <w:sz w:val="28"/>
          <w:szCs w:val="28"/>
        </w:rPr>
        <w:t>：</w:t>
      </w:r>
      <w:r>
        <w:rPr>
          <w:rFonts w:hint="eastAsia" w:ascii="仿宋" w:hAnsi="仿宋" w:eastAsia="仿宋"/>
          <w:b/>
          <w:sz w:val="30"/>
          <w:szCs w:val="30"/>
        </w:rPr>
        <w:t xml:space="preserve"> </w:t>
      </w:r>
      <w:r>
        <w:rPr>
          <w:rFonts w:hint="eastAsia" w:ascii="仿宋" w:hAnsi="仿宋" w:eastAsia="仿宋"/>
          <w:b/>
          <w:sz w:val="28"/>
          <w:szCs w:val="28"/>
        </w:rPr>
        <w:t xml:space="preserve">  </w:t>
      </w:r>
      <w:r>
        <w:rPr>
          <w:rFonts w:hint="eastAsia" w:ascii="仿宋" w:hAnsi="仿宋" w:eastAsia="仿宋"/>
          <w:b/>
          <w:sz w:val="24"/>
          <w:szCs w:val="24"/>
        </w:rPr>
        <w:t xml:space="preserve">               </w:t>
      </w:r>
    </w:p>
    <w:p w14:paraId="67CEEBF9">
      <w:pPr>
        <w:jc w:val="center"/>
        <w:rPr>
          <w:rFonts w:ascii="仿宋" w:hAnsi="仿宋" w:eastAsia="仿宋"/>
          <w:b/>
          <w:sz w:val="36"/>
          <w:szCs w:val="36"/>
        </w:rPr>
      </w:pPr>
      <w:r>
        <w:rPr>
          <w:rFonts w:hint="eastAsia" w:ascii="仿宋" w:hAnsi="仿宋" w:eastAsia="仿宋"/>
          <w:b/>
          <w:sz w:val="36"/>
          <w:szCs w:val="36"/>
        </w:rPr>
        <w:t>廉政责任书</w:t>
      </w:r>
    </w:p>
    <w:p w14:paraId="6D1AED85">
      <w:pPr>
        <w:ind w:left="298" w:leftChars="142"/>
        <w:jc w:val="center"/>
        <w:rPr>
          <w:rFonts w:ascii="仿宋" w:hAnsi="仿宋" w:eastAsia="仿宋"/>
          <w:b/>
          <w:bCs/>
          <w:sz w:val="24"/>
          <w:szCs w:val="24"/>
        </w:rPr>
      </w:pPr>
    </w:p>
    <w:p w14:paraId="1332096A">
      <w:pPr>
        <w:pBdr>
          <w:top w:val="none" w:color="auto" w:sz="0" w:space="0"/>
          <w:left w:val="none" w:color="auto" w:sz="0" w:space="0"/>
          <w:bottom w:val="none" w:color="auto" w:sz="0" w:space="0"/>
          <w:right w:val="none" w:color="auto" w:sz="0" w:space="0"/>
          <w:between w:val="none" w:color="auto" w:sz="0" w:space="0"/>
        </w:pBdr>
        <w:spacing w:line="400" w:lineRule="exact"/>
        <w:jc w:val="left"/>
        <w:rPr>
          <w:rFonts w:ascii="仿宋" w:hAnsi="仿宋" w:eastAsia="仿宋"/>
          <w:kern w:val="2"/>
          <w:sz w:val="28"/>
          <w:szCs w:val="28"/>
        </w:rPr>
      </w:pPr>
      <w:r>
        <w:rPr>
          <w:rFonts w:hint="eastAsia" w:ascii="仿宋" w:hAnsi="仿宋" w:eastAsia="仿宋"/>
          <w:kern w:val="2"/>
          <w:sz w:val="28"/>
          <w:szCs w:val="28"/>
        </w:rPr>
        <w:t>甲方：</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kern w:val="2"/>
          <w:sz w:val="28"/>
          <w:szCs w:val="28"/>
        </w:rPr>
        <w:t>（产废单位）</w:t>
      </w:r>
    </w:p>
    <w:p w14:paraId="534035FF">
      <w:pPr>
        <w:pBdr>
          <w:top w:val="none" w:color="auto" w:sz="0" w:space="0"/>
          <w:left w:val="none" w:color="auto" w:sz="0" w:space="0"/>
          <w:bottom w:val="none" w:color="auto" w:sz="0" w:space="0"/>
          <w:right w:val="none" w:color="auto" w:sz="0" w:space="0"/>
          <w:between w:val="none" w:color="auto" w:sz="0" w:space="0"/>
        </w:pBdr>
        <w:spacing w:line="400" w:lineRule="exact"/>
        <w:rPr>
          <w:rFonts w:ascii="仿宋" w:hAnsi="仿宋" w:eastAsia="仿宋"/>
          <w:kern w:val="2"/>
          <w:sz w:val="28"/>
          <w:szCs w:val="28"/>
        </w:rPr>
      </w:pPr>
      <w:r>
        <w:rPr>
          <w:rFonts w:hint="eastAsia" w:ascii="仿宋" w:hAnsi="仿宋" w:eastAsia="仿宋"/>
          <w:kern w:val="2"/>
          <w:sz w:val="28"/>
          <w:szCs w:val="28"/>
        </w:rPr>
        <w:t>乙方：</w:t>
      </w:r>
      <w:r>
        <w:rPr>
          <w:rFonts w:hint="eastAsia" w:ascii="仿宋" w:hAnsi="仿宋" w:eastAsia="仿宋"/>
          <w:kern w:val="2"/>
          <w:sz w:val="28"/>
          <w:szCs w:val="28"/>
          <w:u w:val="single"/>
          <w:lang w:val="en-US" w:eastAsia="zh-CN"/>
        </w:rPr>
        <w:t xml:space="preserve">                        </w:t>
      </w:r>
      <w:r>
        <w:rPr>
          <w:rFonts w:hint="eastAsia" w:ascii="仿宋" w:hAnsi="仿宋" w:eastAsia="仿宋"/>
          <w:kern w:val="2"/>
          <w:sz w:val="28"/>
          <w:szCs w:val="28"/>
        </w:rPr>
        <w:t>（处置单位）</w:t>
      </w:r>
    </w:p>
    <w:p w14:paraId="410F5874">
      <w:pPr>
        <w:pBdr>
          <w:top w:val="none" w:color="auto" w:sz="0" w:space="0"/>
          <w:left w:val="none" w:color="auto" w:sz="0" w:space="0"/>
          <w:bottom w:val="none" w:color="auto" w:sz="0" w:space="0"/>
          <w:right w:val="none" w:color="auto" w:sz="0" w:space="0"/>
          <w:between w:val="none" w:color="auto" w:sz="0" w:space="0"/>
        </w:pBdr>
        <w:ind w:firstLine="480" w:firstLineChars="200"/>
        <w:rPr>
          <w:rFonts w:ascii="仿宋" w:hAnsi="仿宋" w:eastAsia="仿宋"/>
          <w:kern w:val="2"/>
          <w:sz w:val="24"/>
          <w:szCs w:val="24"/>
        </w:rPr>
      </w:pPr>
    </w:p>
    <w:p w14:paraId="1F28048F">
      <w:pPr>
        <w:pBdr>
          <w:top w:val="none" w:color="auto" w:sz="0" w:space="0"/>
          <w:left w:val="none" w:color="auto" w:sz="0" w:space="0"/>
          <w:bottom w:val="none" w:color="auto" w:sz="0" w:space="0"/>
          <w:right w:val="none" w:color="auto" w:sz="0" w:space="0"/>
          <w:between w:val="none" w:color="auto" w:sz="0" w:space="0"/>
        </w:pBdr>
        <w:spacing w:line="400" w:lineRule="exact"/>
        <w:ind w:firstLine="480" w:firstLineChars="200"/>
        <w:rPr>
          <w:rFonts w:ascii="仿宋" w:hAnsi="仿宋" w:eastAsia="仿宋"/>
          <w:kern w:val="2"/>
          <w:sz w:val="24"/>
          <w:szCs w:val="24"/>
        </w:rPr>
      </w:pPr>
      <w:r>
        <w:rPr>
          <w:rFonts w:hint="eastAsia" w:ascii="仿宋" w:hAnsi="仿宋" w:eastAsia="仿宋"/>
          <w:kern w:val="2"/>
          <w:sz w:val="24"/>
          <w:szCs w:val="24"/>
        </w:rPr>
        <w:t>为杜绝一切商业贿赂，保证双方在公平、公正、公开原则下履行双方签订的相关业务合同，避免腐败事件发生，有效保护甲方和乙方合法利益，便于双方建立长期的合作关系，双方经协商签订本《廉政责任书》，以便双方共同遵守。</w:t>
      </w:r>
    </w:p>
    <w:p w14:paraId="0732A57B">
      <w:pPr>
        <w:pBdr>
          <w:top w:val="none" w:color="auto" w:sz="0" w:space="0"/>
          <w:left w:val="none" w:color="auto" w:sz="0" w:space="0"/>
          <w:bottom w:val="none" w:color="auto" w:sz="0" w:space="0"/>
          <w:right w:val="none" w:color="auto" w:sz="0" w:space="0"/>
          <w:between w:val="none" w:color="auto" w:sz="0" w:space="0"/>
        </w:pBdr>
        <w:spacing w:line="400" w:lineRule="exact"/>
        <w:ind w:firstLine="480" w:firstLineChars="200"/>
        <w:rPr>
          <w:rFonts w:ascii="黑体" w:hAnsi="黑体" w:eastAsia="黑体" w:cs="黑体"/>
          <w:kern w:val="2"/>
          <w:sz w:val="24"/>
          <w:szCs w:val="24"/>
        </w:rPr>
      </w:pPr>
      <w:r>
        <w:rPr>
          <w:rFonts w:hint="eastAsia" w:ascii="黑体" w:hAnsi="黑体" w:eastAsia="黑体" w:cs="黑体"/>
          <w:kern w:val="2"/>
          <w:sz w:val="24"/>
          <w:szCs w:val="24"/>
        </w:rPr>
        <w:t>第一条 甲乙双方的责任</w:t>
      </w:r>
    </w:p>
    <w:p w14:paraId="00E121A9">
      <w:pPr>
        <w:pBdr>
          <w:top w:val="none" w:color="auto" w:sz="0" w:space="0"/>
          <w:left w:val="none" w:color="auto" w:sz="0" w:space="0"/>
          <w:bottom w:val="none" w:color="auto" w:sz="0" w:space="0"/>
          <w:right w:val="none" w:color="auto" w:sz="0" w:space="0"/>
          <w:between w:val="none" w:color="auto" w:sz="0" w:space="0"/>
        </w:pBdr>
        <w:spacing w:line="400" w:lineRule="exact"/>
        <w:ind w:firstLine="480" w:firstLineChars="200"/>
        <w:rPr>
          <w:rFonts w:ascii="仿宋" w:hAnsi="仿宋" w:eastAsia="仿宋"/>
          <w:bCs/>
          <w:kern w:val="2"/>
          <w:sz w:val="24"/>
          <w:szCs w:val="24"/>
        </w:rPr>
      </w:pPr>
      <w:r>
        <w:rPr>
          <w:rFonts w:hint="eastAsia" w:ascii="楷体" w:hAnsi="楷体" w:eastAsia="楷体" w:cs="楷体"/>
          <w:kern w:val="2"/>
          <w:sz w:val="24"/>
          <w:szCs w:val="24"/>
        </w:rPr>
        <w:t>（一）</w:t>
      </w:r>
      <w:r>
        <w:rPr>
          <w:rFonts w:hint="eastAsia" w:ascii="仿宋" w:hAnsi="仿宋" w:eastAsia="仿宋"/>
          <w:bCs/>
          <w:kern w:val="2"/>
          <w:sz w:val="24"/>
          <w:szCs w:val="24"/>
        </w:rPr>
        <w:t>应严格遵守国家关于市场准入、项目招标投标、市场活动等有关法律、法规，相关政策，以及廉政建设的各项规定。</w:t>
      </w:r>
    </w:p>
    <w:p w14:paraId="0731B79F">
      <w:pPr>
        <w:pBdr>
          <w:top w:val="none" w:color="auto" w:sz="0" w:space="0"/>
          <w:left w:val="none" w:color="auto" w:sz="0" w:space="0"/>
          <w:bottom w:val="none" w:color="auto" w:sz="0" w:space="0"/>
          <w:right w:val="none" w:color="auto" w:sz="0" w:space="0"/>
          <w:between w:val="none" w:color="auto" w:sz="0" w:space="0"/>
        </w:pBdr>
        <w:spacing w:line="400" w:lineRule="exact"/>
        <w:ind w:firstLine="480" w:firstLineChars="200"/>
        <w:rPr>
          <w:rFonts w:ascii="仿宋" w:hAnsi="仿宋" w:eastAsia="仿宋"/>
          <w:bCs/>
          <w:kern w:val="2"/>
          <w:sz w:val="24"/>
          <w:szCs w:val="24"/>
        </w:rPr>
      </w:pPr>
      <w:r>
        <w:rPr>
          <w:rFonts w:hint="eastAsia" w:ascii="楷体" w:hAnsi="楷体" w:eastAsia="楷体" w:cs="楷体"/>
          <w:kern w:val="2"/>
          <w:sz w:val="24"/>
          <w:szCs w:val="24"/>
        </w:rPr>
        <w:t>（二）</w:t>
      </w:r>
      <w:r>
        <w:rPr>
          <w:rFonts w:hint="eastAsia" w:ascii="仿宋" w:hAnsi="仿宋" w:eastAsia="仿宋"/>
          <w:bCs/>
          <w:kern w:val="2"/>
          <w:sz w:val="24"/>
          <w:szCs w:val="24"/>
        </w:rPr>
        <w:t>严格执行危废处置协议。</w:t>
      </w:r>
    </w:p>
    <w:p w14:paraId="1CE19813">
      <w:pPr>
        <w:pBdr>
          <w:top w:val="none" w:color="auto" w:sz="0" w:space="0"/>
          <w:left w:val="none" w:color="auto" w:sz="0" w:space="0"/>
          <w:bottom w:val="none" w:color="auto" w:sz="0" w:space="0"/>
          <w:right w:val="none" w:color="auto" w:sz="0" w:space="0"/>
          <w:between w:val="none" w:color="auto" w:sz="0" w:space="0"/>
        </w:pBdr>
        <w:spacing w:line="400" w:lineRule="exact"/>
        <w:ind w:firstLine="480" w:firstLineChars="200"/>
        <w:rPr>
          <w:rFonts w:ascii="仿宋" w:hAnsi="仿宋" w:eastAsia="仿宋"/>
          <w:bCs/>
          <w:kern w:val="2"/>
          <w:sz w:val="24"/>
          <w:szCs w:val="24"/>
        </w:rPr>
      </w:pPr>
      <w:r>
        <w:rPr>
          <w:rFonts w:hint="eastAsia" w:ascii="楷体" w:hAnsi="楷体" w:eastAsia="楷体" w:cs="楷体"/>
          <w:kern w:val="2"/>
          <w:sz w:val="24"/>
          <w:szCs w:val="24"/>
        </w:rPr>
        <w:t>（三）</w:t>
      </w:r>
      <w:r>
        <w:rPr>
          <w:rFonts w:hint="eastAsia" w:ascii="仿宋" w:hAnsi="仿宋" w:eastAsia="仿宋"/>
          <w:bCs/>
          <w:kern w:val="2"/>
          <w:sz w:val="24"/>
          <w:szCs w:val="24"/>
        </w:rPr>
        <w:t>业务活动必须坚持公开、公平、公正、诚信、透明的原则（除法律法规另有规定者外），不得为获取不正当的利益，损害国家、集体和对方利益。</w:t>
      </w:r>
    </w:p>
    <w:p w14:paraId="05C044DA">
      <w:pPr>
        <w:pBdr>
          <w:top w:val="none" w:color="auto" w:sz="0" w:space="0"/>
          <w:left w:val="none" w:color="auto" w:sz="0" w:space="0"/>
          <w:bottom w:val="none" w:color="auto" w:sz="0" w:space="0"/>
          <w:right w:val="none" w:color="auto" w:sz="0" w:space="0"/>
          <w:between w:val="none" w:color="auto" w:sz="0" w:space="0"/>
        </w:pBdr>
        <w:spacing w:line="400" w:lineRule="exact"/>
        <w:ind w:firstLine="480" w:firstLineChars="200"/>
        <w:rPr>
          <w:rFonts w:ascii="仿宋" w:hAnsi="仿宋" w:eastAsia="仿宋"/>
          <w:bCs/>
          <w:kern w:val="2"/>
          <w:sz w:val="24"/>
          <w:szCs w:val="24"/>
        </w:rPr>
      </w:pPr>
      <w:r>
        <w:rPr>
          <w:rFonts w:hint="eastAsia" w:ascii="楷体" w:hAnsi="楷体" w:eastAsia="楷体" w:cs="楷体"/>
          <w:kern w:val="2"/>
          <w:sz w:val="24"/>
          <w:szCs w:val="24"/>
        </w:rPr>
        <w:t>（四）</w:t>
      </w:r>
      <w:r>
        <w:rPr>
          <w:rFonts w:hint="eastAsia" w:ascii="仿宋" w:hAnsi="仿宋" w:eastAsia="仿宋"/>
          <w:bCs/>
          <w:kern w:val="2"/>
          <w:sz w:val="24"/>
          <w:szCs w:val="24"/>
        </w:rPr>
        <w:t>发现对方在业务活动中有违规、违纪、违法行为的，应及时提醒对方，情节严重的，应向其上级主管部门或纪检监察、司法等有关机关举报。</w:t>
      </w:r>
    </w:p>
    <w:p w14:paraId="0E2BA17D">
      <w:pPr>
        <w:pBdr>
          <w:top w:val="none" w:color="auto" w:sz="0" w:space="0"/>
          <w:left w:val="none" w:color="auto" w:sz="0" w:space="0"/>
          <w:bottom w:val="none" w:color="auto" w:sz="0" w:space="0"/>
          <w:right w:val="none" w:color="auto" w:sz="0" w:space="0"/>
          <w:between w:val="none" w:color="auto" w:sz="0" w:space="0"/>
        </w:pBdr>
        <w:spacing w:line="400" w:lineRule="exact"/>
        <w:ind w:firstLine="480" w:firstLineChars="200"/>
        <w:rPr>
          <w:rFonts w:ascii="黑体" w:hAnsi="黑体" w:eastAsia="黑体" w:cs="黑体"/>
          <w:kern w:val="2"/>
          <w:sz w:val="24"/>
          <w:szCs w:val="24"/>
        </w:rPr>
      </w:pPr>
      <w:r>
        <w:rPr>
          <w:rFonts w:hint="eastAsia" w:ascii="黑体" w:hAnsi="黑体" w:eastAsia="黑体" w:cs="黑体"/>
          <w:kern w:val="2"/>
          <w:sz w:val="24"/>
          <w:szCs w:val="24"/>
        </w:rPr>
        <w:t>第二条 甲方的责任</w:t>
      </w:r>
    </w:p>
    <w:p w14:paraId="71268888">
      <w:pPr>
        <w:pBdr>
          <w:top w:val="none" w:color="auto" w:sz="0" w:space="0"/>
          <w:left w:val="none" w:color="auto" w:sz="0" w:space="0"/>
          <w:bottom w:val="none" w:color="auto" w:sz="0" w:space="0"/>
          <w:right w:val="none" w:color="auto" w:sz="0" w:space="0"/>
          <w:between w:val="none" w:color="auto" w:sz="0" w:space="0"/>
        </w:pBdr>
        <w:spacing w:line="400" w:lineRule="exact"/>
        <w:ind w:firstLine="480" w:firstLineChars="200"/>
        <w:rPr>
          <w:rFonts w:ascii="仿宋" w:hAnsi="仿宋" w:eastAsia="仿宋"/>
          <w:bCs/>
          <w:kern w:val="2"/>
          <w:sz w:val="24"/>
          <w:szCs w:val="24"/>
        </w:rPr>
      </w:pPr>
      <w:r>
        <w:rPr>
          <w:rFonts w:hint="eastAsia" w:ascii="仿宋" w:hAnsi="仿宋" w:eastAsia="仿宋"/>
          <w:bCs/>
          <w:kern w:val="2"/>
          <w:sz w:val="24"/>
          <w:szCs w:val="24"/>
        </w:rPr>
        <w:t>应与乙方保持正常的业务交往，按照有关法律法规和程序开展业务工作，并遵守以下规定：</w:t>
      </w:r>
    </w:p>
    <w:p w14:paraId="6F0AFB1C">
      <w:pPr>
        <w:pBdr>
          <w:top w:val="none" w:color="auto" w:sz="0" w:space="0"/>
          <w:left w:val="none" w:color="auto" w:sz="0" w:space="0"/>
          <w:bottom w:val="none" w:color="auto" w:sz="0" w:space="0"/>
          <w:right w:val="none" w:color="auto" w:sz="0" w:space="0"/>
          <w:between w:val="none" w:color="auto" w:sz="0" w:space="0"/>
        </w:pBdr>
        <w:spacing w:line="400" w:lineRule="exact"/>
        <w:ind w:firstLine="480" w:firstLineChars="200"/>
        <w:rPr>
          <w:rFonts w:ascii="仿宋" w:hAnsi="仿宋" w:eastAsia="仿宋"/>
          <w:bCs/>
          <w:kern w:val="2"/>
          <w:sz w:val="24"/>
          <w:szCs w:val="24"/>
        </w:rPr>
      </w:pPr>
      <w:r>
        <w:rPr>
          <w:rFonts w:hint="eastAsia" w:ascii="楷体" w:hAnsi="楷体" w:eastAsia="楷体" w:cs="楷体"/>
          <w:kern w:val="2"/>
          <w:sz w:val="24"/>
          <w:szCs w:val="24"/>
        </w:rPr>
        <w:t>（一）</w:t>
      </w:r>
      <w:r>
        <w:rPr>
          <w:rFonts w:hint="eastAsia" w:ascii="仿宋" w:hAnsi="仿宋" w:eastAsia="仿宋"/>
          <w:bCs/>
          <w:kern w:val="2"/>
          <w:sz w:val="24"/>
          <w:szCs w:val="24"/>
        </w:rPr>
        <w:t>禁止以任何理由，向乙方、相关单位及其工作人员索要、接受或赠送礼金、有价证券、贵重物品和回扣、好处费、感谢费等。</w:t>
      </w:r>
    </w:p>
    <w:p w14:paraId="32489EDA">
      <w:pPr>
        <w:pBdr>
          <w:top w:val="none" w:color="auto" w:sz="0" w:space="0"/>
          <w:left w:val="none" w:color="auto" w:sz="0" w:space="0"/>
          <w:bottom w:val="none" w:color="auto" w:sz="0" w:space="0"/>
          <w:right w:val="none" w:color="auto" w:sz="0" w:space="0"/>
          <w:between w:val="none" w:color="auto" w:sz="0" w:space="0"/>
        </w:pBdr>
        <w:spacing w:line="400" w:lineRule="exact"/>
        <w:ind w:firstLine="480" w:firstLineChars="200"/>
        <w:rPr>
          <w:rFonts w:ascii="仿宋" w:hAnsi="仿宋" w:eastAsia="仿宋"/>
          <w:bCs/>
          <w:kern w:val="2"/>
          <w:sz w:val="24"/>
          <w:szCs w:val="24"/>
        </w:rPr>
      </w:pPr>
      <w:r>
        <w:rPr>
          <w:rFonts w:hint="eastAsia" w:ascii="楷体" w:hAnsi="楷体" w:eastAsia="楷体" w:cs="楷体"/>
          <w:kern w:val="2"/>
          <w:sz w:val="24"/>
          <w:szCs w:val="24"/>
        </w:rPr>
        <w:t>（二）</w:t>
      </w:r>
      <w:r>
        <w:rPr>
          <w:rFonts w:hint="eastAsia" w:ascii="仿宋" w:hAnsi="仿宋" w:eastAsia="仿宋"/>
          <w:bCs/>
          <w:kern w:val="2"/>
          <w:sz w:val="24"/>
          <w:szCs w:val="24"/>
        </w:rPr>
        <w:t>禁止以任何理由为乙方和相关单位报销应由对方或个人支付的费用。</w:t>
      </w:r>
    </w:p>
    <w:p w14:paraId="7DCE0647">
      <w:pPr>
        <w:pBdr>
          <w:top w:val="none" w:color="auto" w:sz="0" w:space="0"/>
          <w:left w:val="none" w:color="auto" w:sz="0" w:space="0"/>
          <w:bottom w:val="none" w:color="auto" w:sz="0" w:space="0"/>
          <w:right w:val="none" w:color="auto" w:sz="0" w:space="0"/>
          <w:between w:val="none" w:color="auto" w:sz="0" w:space="0"/>
        </w:pBdr>
        <w:spacing w:line="400" w:lineRule="exact"/>
        <w:ind w:firstLine="480" w:firstLineChars="200"/>
        <w:rPr>
          <w:rFonts w:ascii="仿宋" w:hAnsi="仿宋" w:eastAsia="仿宋"/>
          <w:bCs/>
          <w:kern w:val="2"/>
          <w:sz w:val="24"/>
          <w:szCs w:val="24"/>
        </w:rPr>
      </w:pPr>
      <w:r>
        <w:rPr>
          <w:rFonts w:hint="eastAsia" w:ascii="楷体" w:hAnsi="楷体" w:eastAsia="楷体" w:cs="楷体"/>
          <w:kern w:val="2"/>
          <w:sz w:val="24"/>
          <w:szCs w:val="24"/>
        </w:rPr>
        <w:t>（三）</w:t>
      </w:r>
      <w:r>
        <w:rPr>
          <w:rFonts w:hint="eastAsia" w:ascii="仿宋" w:hAnsi="仿宋" w:eastAsia="仿宋"/>
          <w:bCs/>
          <w:kern w:val="2"/>
          <w:sz w:val="24"/>
          <w:szCs w:val="24"/>
        </w:rPr>
        <w:t>禁止接受或暗示为乙方、相关单位或个人装修住房、婚丧嫁娶、配偶子女的工作安排以及出国（境）、旅游等提供方便。</w:t>
      </w:r>
    </w:p>
    <w:p w14:paraId="22798842">
      <w:pPr>
        <w:pBdr>
          <w:top w:val="none" w:color="auto" w:sz="0" w:space="0"/>
          <w:left w:val="none" w:color="auto" w:sz="0" w:space="0"/>
          <w:bottom w:val="none" w:color="auto" w:sz="0" w:space="0"/>
          <w:right w:val="none" w:color="auto" w:sz="0" w:space="0"/>
          <w:between w:val="none" w:color="auto" w:sz="0" w:space="0"/>
        </w:pBdr>
        <w:spacing w:line="400" w:lineRule="exact"/>
        <w:ind w:firstLine="480" w:firstLineChars="200"/>
        <w:rPr>
          <w:rFonts w:ascii="仿宋" w:hAnsi="仿宋" w:eastAsia="仿宋"/>
          <w:bCs/>
          <w:kern w:val="2"/>
          <w:sz w:val="24"/>
          <w:szCs w:val="24"/>
        </w:rPr>
      </w:pPr>
      <w:r>
        <w:rPr>
          <w:rFonts w:hint="eastAsia" w:ascii="楷体" w:hAnsi="楷体" w:eastAsia="楷体" w:cs="楷体"/>
          <w:kern w:val="2"/>
          <w:sz w:val="24"/>
          <w:szCs w:val="24"/>
        </w:rPr>
        <w:t>（四）</w:t>
      </w:r>
      <w:r>
        <w:rPr>
          <w:rFonts w:hint="eastAsia" w:ascii="仿宋" w:hAnsi="仿宋" w:eastAsia="仿宋"/>
          <w:bCs/>
          <w:kern w:val="2"/>
          <w:sz w:val="24"/>
          <w:szCs w:val="24"/>
        </w:rPr>
        <w:t>禁止以任何理由为乙方、相关单位或个人组织有可能影响公正执行公务的宴请、健身、娱乐等活动。</w:t>
      </w:r>
    </w:p>
    <w:p w14:paraId="7EE7BEDE">
      <w:pPr>
        <w:pBdr>
          <w:top w:val="none" w:color="auto" w:sz="0" w:space="0"/>
          <w:left w:val="none" w:color="auto" w:sz="0" w:space="0"/>
          <w:bottom w:val="none" w:color="auto" w:sz="0" w:space="0"/>
          <w:right w:val="none" w:color="auto" w:sz="0" w:space="0"/>
          <w:between w:val="none" w:color="auto" w:sz="0" w:space="0"/>
        </w:pBdr>
        <w:spacing w:line="400" w:lineRule="exact"/>
        <w:ind w:firstLine="480" w:firstLineChars="200"/>
        <w:jc w:val="left"/>
        <w:rPr>
          <w:rFonts w:ascii="黑体" w:hAnsi="黑体" w:eastAsia="黑体" w:cs="黑体"/>
          <w:kern w:val="2"/>
          <w:sz w:val="24"/>
          <w:szCs w:val="24"/>
        </w:rPr>
      </w:pPr>
      <w:r>
        <w:rPr>
          <w:rFonts w:hint="eastAsia" w:ascii="黑体" w:hAnsi="黑体" w:eastAsia="黑体" w:cs="黑体"/>
          <w:kern w:val="2"/>
          <w:sz w:val="24"/>
          <w:szCs w:val="24"/>
        </w:rPr>
        <w:t>第三条  乙方的责任</w:t>
      </w:r>
    </w:p>
    <w:p w14:paraId="1296F7D8">
      <w:pPr>
        <w:pBdr>
          <w:top w:val="none" w:color="auto" w:sz="0" w:space="0"/>
          <w:left w:val="none" w:color="auto" w:sz="0" w:space="0"/>
          <w:bottom w:val="none" w:color="auto" w:sz="0" w:space="0"/>
          <w:right w:val="none" w:color="auto" w:sz="0" w:space="0"/>
          <w:between w:val="none" w:color="auto" w:sz="0" w:space="0"/>
        </w:pBdr>
        <w:spacing w:line="400" w:lineRule="exact"/>
        <w:ind w:firstLine="480" w:firstLineChars="200"/>
        <w:rPr>
          <w:rFonts w:ascii="仿宋" w:hAnsi="仿宋" w:eastAsia="仿宋"/>
          <w:bCs/>
          <w:kern w:val="2"/>
          <w:sz w:val="24"/>
          <w:szCs w:val="24"/>
        </w:rPr>
      </w:pPr>
      <w:r>
        <w:rPr>
          <w:rFonts w:hint="eastAsia" w:ascii="仿宋" w:hAnsi="仿宋" w:eastAsia="仿宋"/>
          <w:bCs/>
          <w:kern w:val="2"/>
          <w:sz w:val="24"/>
          <w:szCs w:val="24"/>
        </w:rPr>
        <w:t>乙方人员在合同洽谈和执行的事前、事中、事后应遵守以下规定：</w:t>
      </w:r>
    </w:p>
    <w:p w14:paraId="197074CB">
      <w:pPr>
        <w:pBdr>
          <w:top w:val="none" w:color="auto" w:sz="0" w:space="0"/>
          <w:left w:val="none" w:color="auto" w:sz="0" w:space="0"/>
          <w:bottom w:val="none" w:color="auto" w:sz="0" w:space="0"/>
          <w:right w:val="none" w:color="auto" w:sz="0" w:space="0"/>
          <w:between w:val="none" w:color="auto" w:sz="0" w:space="0"/>
        </w:pBdr>
        <w:spacing w:line="400" w:lineRule="exact"/>
        <w:ind w:firstLine="480" w:firstLineChars="200"/>
        <w:rPr>
          <w:rFonts w:ascii="仿宋" w:hAnsi="仿宋" w:eastAsia="仿宋"/>
          <w:bCs/>
          <w:kern w:val="2"/>
          <w:sz w:val="24"/>
          <w:szCs w:val="24"/>
        </w:rPr>
      </w:pPr>
      <w:r>
        <w:rPr>
          <w:rFonts w:hint="eastAsia" w:ascii="楷体" w:hAnsi="楷体" w:eastAsia="楷体" w:cs="楷体"/>
          <w:kern w:val="2"/>
          <w:sz w:val="24"/>
          <w:szCs w:val="24"/>
        </w:rPr>
        <w:t>（一）</w:t>
      </w:r>
      <w:r>
        <w:rPr>
          <w:rFonts w:hint="eastAsia" w:ascii="仿宋" w:hAnsi="仿宋" w:eastAsia="仿宋"/>
          <w:bCs/>
          <w:kern w:val="2"/>
          <w:sz w:val="24"/>
          <w:szCs w:val="24"/>
        </w:rPr>
        <w:t>禁止向甲方和相关单位索要或接受回扣、礼金、有价证券、贵重物品和好处费、感谢费等。</w:t>
      </w:r>
    </w:p>
    <w:p w14:paraId="5B183427">
      <w:pPr>
        <w:pBdr>
          <w:top w:val="none" w:color="auto" w:sz="0" w:space="0"/>
          <w:left w:val="none" w:color="auto" w:sz="0" w:space="0"/>
          <w:bottom w:val="none" w:color="auto" w:sz="0" w:space="0"/>
          <w:right w:val="none" w:color="auto" w:sz="0" w:space="0"/>
          <w:between w:val="none" w:color="auto" w:sz="0" w:space="0"/>
        </w:pBdr>
        <w:spacing w:line="400" w:lineRule="exact"/>
        <w:ind w:firstLine="480" w:firstLineChars="200"/>
        <w:rPr>
          <w:rFonts w:ascii="仿宋" w:hAnsi="仿宋" w:eastAsia="仿宋"/>
          <w:bCs/>
          <w:kern w:val="2"/>
          <w:sz w:val="24"/>
          <w:szCs w:val="24"/>
        </w:rPr>
      </w:pPr>
      <w:r>
        <w:rPr>
          <w:rFonts w:hint="eastAsia" w:ascii="楷体" w:hAnsi="楷体" w:eastAsia="楷体" w:cs="楷体"/>
          <w:kern w:val="2"/>
          <w:sz w:val="24"/>
          <w:szCs w:val="24"/>
        </w:rPr>
        <w:t>（二）</w:t>
      </w:r>
      <w:r>
        <w:rPr>
          <w:rFonts w:hint="eastAsia" w:ascii="仿宋" w:hAnsi="仿宋" w:eastAsia="仿宋"/>
          <w:bCs/>
          <w:kern w:val="2"/>
          <w:sz w:val="24"/>
          <w:szCs w:val="24"/>
        </w:rPr>
        <w:t>禁止要求、暗示和接受甲方和相关单位为个人装修住房、婚丧嫁娶、配偶子女的工作安排以及出国（境）、旅游等提供方便。</w:t>
      </w:r>
    </w:p>
    <w:p w14:paraId="3565FB75">
      <w:pPr>
        <w:pBdr>
          <w:top w:val="none" w:color="auto" w:sz="0" w:space="0"/>
          <w:left w:val="none" w:color="auto" w:sz="0" w:space="0"/>
          <w:bottom w:val="none" w:color="auto" w:sz="0" w:space="0"/>
          <w:right w:val="none" w:color="auto" w:sz="0" w:space="0"/>
          <w:between w:val="none" w:color="auto" w:sz="0" w:space="0"/>
        </w:pBdr>
        <w:spacing w:line="400" w:lineRule="exact"/>
        <w:ind w:firstLine="480" w:firstLineChars="200"/>
        <w:rPr>
          <w:rFonts w:ascii="仿宋" w:hAnsi="仿宋" w:eastAsia="仿宋"/>
          <w:bCs/>
          <w:kern w:val="2"/>
          <w:sz w:val="24"/>
          <w:szCs w:val="24"/>
        </w:rPr>
      </w:pPr>
      <w:r>
        <w:rPr>
          <w:rFonts w:hint="eastAsia" w:ascii="楷体" w:hAnsi="楷体" w:eastAsia="楷体" w:cs="楷体"/>
          <w:kern w:val="2"/>
          <w:sz w:val="24"/>
          <w:szCs w:val="24"/>
        </w:rPr>
        <w:t>（三）</w:t>
      </w:r>
      <w:r>
        <w:rPr>
          <w:rFonts w:hint="eastAsia" w:ascii="仿宋" w:hAnsi="仿宋" w:eastAsia="仿宋"/>
          <w:bCs/>
          <w:kern w:val="2"/>
          <w:sz w:val="24"/>
          <w:szCs w:val="24"/>
        </w:rPr>
        <w:t>禁止参加有可能影响公正执行公务的甲方和相关单位的宴请和健身、娱乐等活动。</w:t>
      </w:r>
    </w:p>
    <w:p w14:paraId="21A5EFD5">
      <w:pPr>
        <w:pBdr>
          <w:top w:val="none" w:color="auto" w:sz="0" w:space="0"/>
          <w:left w:val="none" w:color="auto" w:sz="0" w:space="0"/>
          <w:bottom w:val="none" w:color="auto" w:sz="0" w:space="0"/>
          <w:right w:val="none" w:color="auto" w:sz="0" w:space="0"/>
          <w:between w:val="none" w:color="auto" w:sz="0" w:space="0"/>
        </w:pBdr>
        <w:spacing w:line="400" w:lineRule="exact"/>
        <w:ind w:firstLine="480" w:firstLineChars="200"/>
        <w:rPr>
          <w:rFonts w:ascii="仿宋" w:hAnsi="仿宋" w:eastAsia="仿宋"/>
          <w:bCs/>
          <w:kern w:val="2"/>
          <w:sz w:val="24"/>
          <w:szCs w:val="24"/>
        </w:rPr>
      </w:pPr>
      <w:r>
        <w:rPr>
          <w:rFonts w:hint="eastAsia" w:ascii="楷体" w:hAnsi="楷体" w:eastAsia="楷体" w:cs="楷体"/>
          <w:kern w:val="2"/>
          <w:sz w:val="24"/>
          <w:szCs w:val="24"/>
        </w:rPr>
        <w:t>（四）</w:t>
      </w:r>
      <w:r>
        <w:rPr>
          <w:rFonts w:hint="eastAsia" w:ascii="仿宋" w:hAnsi="仿宋" w:eastAsia="仿宋"/>
          <w:bCs/>
          <w:kern w:val="2"/>
          <w:sz w:val="24"/>
          <w:szCs w:val="24"/>
        </w:rPr>
        <w:t>禁止向甲方介绍或为配偶、子女、亲属参与同合同订立、履行相关的经济活动。</w:t>
      </w:r>
    </w:p>
    <w:p w14:paraId="14C79C85">
      <w:pPr>
        <w:pBdr>
          <w:top w:val="none" w:color="auto" w:sz="0" w:space="0"/>
          <w:left w:val="none" w:color="auto" w:sz="0" w:space="0"/>
          <w:bottom w:val="none" w:color="auto" w:sz="0" w:space="0"/>
          <w:right w:val="none" w:color="auto" w:sz="0" w:space="0"/>
          <w:between w:val="none" w:color="auto" w:sz="0" w:space="0"/>
        </w:pBdr>
        <w:spacing w:line="400" w:lineRule="exact"/>
        <w:ind w:firstLine="480" w:firstLineChars="200"/>
        <w:rPr>
          <w:rFonts w:ascii="仿宋" w:hAnsi="仿宋" w:eastAsia="仿宋"/>
          <w:kern w:val="2"/>
          <w:sz w:val="24"/>
          <w:szCs w:val="24"/>
        </w:rPr>
      </w:pPr>
      <w:r>
        <w:rPr>
          <w:rFonts w:hint="eastAsia" w:ascii="仿宋" w:hAnsi="仿宋" w:eastAsia="仿宋"/>
          <w:kern w:val="2"/>
          <w:sz w:val="24"/>
          <w:szCs w:val="24"/>
        </w:rPr>
        <w:t>乙方人员不得故意刁难甲方,或采用其他行为索要收受回扣、好处费、劳务费或其他名义费用等,如有违反，乙方将对接受者解除劳动合同，对触犯法律的，则追究其法律责任。</w:t>
      </w:r>
    </w:p>
    <w:p w14:paraId="20D6FD79">
      <w:pPr>
        <w:pBdr>
          <w:top w:val="none" w:color="auto" w:sz="0" w:space="0"/>
          <w:left w:val="none" w:color="auto" w:sz="0" w:space="0"/>
          <w:bottom w:val="none" w:color="auto" w:sz="0" w:space="0"/>
          <w:right w:val="none" w:color="auto" w:sz="0" w:space="0"/>
          <w:between w:val="none" w:color="auto" w:sz="0" w:space="0"/>
        </w:pBdr>
        <w:spacing w:line="400" w:lineRule="exact"/>
        <w:ind w:firstLine="480" w:firstLineChars="200"/>
        <w:rPr>
          <w:rFonts w:ascii="黑体" w:hAnsi="黑体" w:eastAsia="黑体" w:cs="黑体"/>
          <w:kern w:val="2"/>
          <w:sz w:val="24"/>
          <w:szCs w:val="24"/>
        </w:rPr>
      </w:pPr>
      <w:r>
        <w:rPr>
          <w:rFonts w:hint="eastAsia" w:ascii="黑体" w:hAnsi="黑体" w:eastAsia="黑体" w:cs="黑体"/>
          <w:kern w:val="2"/>
          <w:sz w:val="24"/>
          <w:szCs w:val="24"/>
        </w:rPr>
        <w:t>第四条 违约责任</w:t>
      </w:r>
    </w:p>
    <w:p w14:paraId="24FED7BC">
      <w:pPr>
        <w:pBdr>
          <w:top w:val="none" w:color="auto" w:sz="0" w:space="0"/>
          <w:left w:val="none" w:color="auto" w:sz="0" w:space="0"/>
          <w:bottom w:val="none" w:color="auto" w:sz="0" w:space="0"/>
          <w:right w:val="none" w:color="auto" w:sz="0" w:space="0"/>
          <w:between w:val="none" w:color="auto" w:sz="0" w:space="0"/>
        </w:pBdr>
        <w:spacing w:line="400" w:lineRule="exact"/>
        <w:ind w:firstLine="480" w:firstLineChars="200"/>
        <w:rPr>
          <w:rFonts w:ascii="仿宋" w:hAnsi="仿宋" w:eastAsia="仿宋"/>
          <w:bCs/>
          <w:kern w:val="2"/>
          <w:sz w:val="24"/>
          <w:szCs w:val="24"/>
        </w:rPr>
      </w:pPr>
      <w:r>
        <w:rPr>
          <w:rFonts w:hint="eastAsia" w:ascii="楷体" w:hAnsi="楷体" w:eastAsia="楷体" w:cs="楷体"/>
          <w:kern w:val="2"/>
          <w:sz w:val="24"/>
          <w:szCs w:val="24"/>
        </w:rPr>
        <w:t>（一）</w:t>
      </w:r>
      <w:r>
        <w:rPr>
          <w:rFonts w:hint="eastAsia" w:ascii="仿宋" w:hAnsi="仿宋" w:eastAsia="仿宋"/>
          <w:bCs/>
          <w:kern w:val="2"/>
          <w:sz w:val="24"/>
          <w:szCs w:val="24"/>
        </w:rPr>
        <w:t>甲方工作人员有违反本责任书第一、二条责任行为的，乙方将通知甲方，涉嫌犯罪的，移交司法机关追究刑事责任；给乙方单位造成经济损失的，应予以赔偿。</w:t>
      </w:r>
    </w:p>
    <w:p w14:paraId="27E2932D">
      <w:pPr>
        <w:pBdr>
          <w:top w:val="none" w:color="auto" w:sz="0" w:space="0"/>
          <w:left w:val="none" w:color="auto" w:sz="0" w:space="0"/>
          <w:bottom w:val="none" w:color="auto" w:sz="0" w:space="0"/>
          <w:right w:val="none" w:color="auto" w:sz="0" w:space="0"/>
          <w:between w:val="none" w:color="auto" w:sz="0" w:space="0"/>
        </w:pBdr>
        <w:spacing w:line="400" w:lineRule="exact"/>
        <w:ind w:firstLine="480" w:firstLineChars="200"/>
        <w:rPr>
          <w:rFonts w:ascii="仿宋" w:hAnsi="仿宋" w:eastAsia="仿宋"/>
          <w:bCs/>
          <w:kern w:val="2"/>
          <w:sz w:val="24"/>
          <w:szCs w:val="24"/>
        </w:rPr>
      </w:pPr>
      <w:r>
        <w:rPr>
          <w:rFonts w:hint="eastAsia" w:ascii="楷体" w:hAnsi="楷体" w:eastAsia="楷体" w:cs="楷体"/>
          <w:kern w:val="2"/>
          <w:sz w:val="24"/>
          <w:szCs w:val="24"/>
        </w:rPr>
        <w:t>（二）</w:t>
      </w:r>
      <w:r>
        <w:rPr>
          <w:rFonts w:hint="eastAsia" w:ascii="仿宋" w:hAnsi="仿宋" w:eastAsia="仿宋"/>
          <w:bCs/>
          <w:kern w:val="2"/>
          <w:sz w:val="24"/>
          <w:szCs w:val="24"/>
        </w:rPr>
        <w:t>乙方工作人员有违反本责任书第一、三条责任行为的，依据有关法律法规和规定给予党纪、政纪处分或组织处理；涉嫌犯罪的，移交司法机关追究刑事责任；给甲方单位造成经济损失的，应予以赔偿。</w:t>
      </w:r>
    </w:p>
    <w:p w14:paraId="4460BBED">
      <w:pPr>
        <w:pBdr>
          <w:top w:val="none" w:color="auto" w:sz="0" w:space="0"/>
          <w:left w:val="none" w:color="auto" w:sz="0" w:space="0"/>
          <w:bottom w:val="none" w:color="auto" w:sz="0" w:space="0"/>
          <w:right w:val="none" w:color="auto" w:sz="0" w:space="0"/>
          <w:between w:val="none" w:color="auto" w:sz="0" w:space="0"/>
        </w:pBdr>
        <w:spacing w:line="400" w:lineRule="exact"/>
        <w:ind w:firstLine="480" w:firstLineChars="200"/>
        <w:rPr>
          <w:rFonts w:ascii="仿宋" w:hAnsi="仿宋" w:eastAsia="仿宋"/>
          <w:bCs/>
          <w:kern w:val="2"/>
          <w:sz w:val="24"/>
          <w:szCs w:val="24"/>
        </w:rPr>
      </w:pPr>
      <w:r>
        <w:rPr>
          <w:rFonts w:hint="eastAsia" w:ascii="黑体" w:hAnsi="黑体" w:eastAsia="黑体" w:cs="黑体"/>
          <w:kern w:val="2"/>
          <w:sz w:val="24"/>
          <w:szCs w:val="24"/>
        </w:rPr>
        <w:t>第五条</w:t>
      </w:r>
      <w:r>
        <w:rPr>
          <w:rFonts w:hint="eastAsia" w:ascii="仿宋" w:hAnsi="仿宋" w:eastAsia="仿宋"/>
          <w:bCs/>
          <w:kern w:val="2"/>
          <w:sz w:val="24"/>
          <w:szCs w:val="24"/>
        </w:rPr>
        <w:t xml:space="preserve"> 本责任书作为合同的附件，与合同具有同等法律效力。经双方签署后立即生效。</w:t>
      </w:r>
    </w:p>
    <w:p w14:paraId="69AB98FC">
      <w:pPr>
        <w:pBdr>
          <w:top w:val="none" w:color="auto" w:sz="0" w:space="0"/>
          <w:left w:val="none" w:color="auto" w:sz="0" w:space="0"/>
          <w:bottom w:val="none" w:color="auto" w:sz="0" w:space="0"/>
          <w:right w:val="none" w:color="auto" w:sz="0" w:space="0"/>
          <w:between w:val="none" w:color="auto" w:sz="0" w:space="0"/>
        </w:pBdr>
        <w:spacing w:line="400" w:lineRule="exact"/>
        <w:ind w:firstLine="480" w:firstLineChars="200"/>
        <w:rPr>
          <w:rFonts w:ascii="仿宋" w:hAnsi="仿宋" w:eastAsia="仿宋"/>
          <w:bCs/>
          <w:kern w:val="2"/>
          <w:sz w:val="24"/>
          <w:szCs w:val="24"/>
        </w:rPr>
      </w:pPr>
      <w:r>
        <w:rPr>
          <w:rFonts w:hint="eastAsia" w:ascii="黑体" w:hAnsi="黑体" w:eastAsia="黑体" w:cs="黑体"/>
          <w:kern w:val="2"/>
          <w:sz w:val="24"/>
          <w:szCs w:val="24"/>
        </w:rPr>
        <w:t>第六条</w:t>
      </w:r>
      <w:r>
        <w:rPr>
          <w:rFonts w:hint="eastAsia" w:ascii="仿宋" w:hAnsi="仿宋" w:eastAsia="仿宋"/>
          <w:bCs/>
          <w:kern w:val="2"/>
          <w:sz w:val="24"/>
          <w:szCs w:val="24"/>
        </w:rPr>
        <w:t xml:space="preserve"> 本责任书的有效期为双方签署之日起至该处置合同履行完毕一年时止。</w:t>
      </w:r>
    </w:p>
    <w:p w14:paraId="26976F32">
      <w:pPr>
        <w:pBdr>
          <w:top w:val="none" w:color="auto" w:sz="0" w:space="0"/>
          <w:left w:val="none" w:color="auto" w:sz="0" w:space="0"/>
          <w:bottom w:val="none" w:color="auto" w:sz="0" w:space="0"/>
          <w:right w:val="none" w:color="auto" w:sz="0" w:space="0"/>
          <w:between w:val="none" w:color="auto" w:sz="0" w:space="0"/>
        </w:pBdr>
        <w:spacing w:line="400" w:lineRule="exact"/>
        <w:ind w:firstLine="480" w:firstLineChars="200"/>
        <w:rPr>
          <w:rFonts w:ascii="仿宋" w:hAnsi="仿宋" w:eastAsia="仿宋"/>
          <w:bCs/>
          <w:kern w:val="2"/>
          <w:sz w:val="24"/>
          <w:szCs w:val="24"/>
        </w:rPr>
      </w:pPr>
      <w:r>
        <w:rPr>
          <w:rFonts w:hint="eastAsia" w:ascii="黑体" w:hAnsi="黑体" w:eastAsia="黑体" w:cs="黑体"/>
          <w:kern w:val="2"/>
          <w:sz w:val="24"/>
          <w:szCs w:val="24"/>
        </w:rPr>
        <w:t xml:space="preserve">第七条 </w:t>
      </w:r>
      <w:r>
        <w:rPr>
          <w:rFonts w:hint="eastAsia" w:ascii="仿宋" w:hAnsi="仿宋" w:eastAsia="仿宋"/>
          <w:bCs/>
          <w:kern w:val="2"/>
          <w:sz w:val="24"/>
          <w:szCs w:val="24"/>
        </w:rPr>
        <w:t>本责任书一式肆份，由甲乙双方各执贰份。</w:t>
      </w:r>
    </w:p>
    <w:p w14:paraId="26482E4E">
      <w:pPr>
        <w:pBdr>
          <w:top w:val="none" w:color="auto" w:sz="0" w:space="0"/>
          <w:left w:val="none" w:color="auto" w:sz="0" w:space="0"/>
          <w:bottom w:val="none" w:color="auto" w:sz="0" w:space="0"/>
          <w:right w:val="none" w:color="auto" w:sz="0" w:space="0"/>
          <w:between w:val="none" w:color="auto" w:sz="0" w:space="0"/>
        </w:pBdr>
        <w:spacing w:line="400" w:lineRule="exact"/>
        <w:ind w:firstLine="480" w:firstLineChars="200"/>
        <w:rPr>
          <w:rFonts w:ascii="仿宋" w:hAnsi="仿宋" w:eastAsia="仿宋"/>
          <w:bCs/>
          <w:kern w:val="2"/>
          <w:sz w:val="24"/>
          <w:szCs w:val="24"/>
        </w:rPr>
      </w:pPr>
      <w:r>
        <w:rPr>
          <w:rFonts w:hint="eastAsia" w:ascii="仿宋" w:hAnsi="仿宋" w:eastAsia="仿宋"/>
          <w:bCs/>
          <w:kern w:val="2"/>
          <w:sz w:val="24"/>
          <w:szCs w:val="24"/>
        </w:rPr>
        <w:t>　　</w:t>
      </w:r>
    </w:p>
    <w:p w14:paraId="45BD5293">
      <w:pPr>
        <w:pBdr>
          <w:top w:val="none" w:color="auto" w:sz="0" w:space="0"/>
          <w:left w:val="none" w:color="auto" w:sz="0" w:space="0"/>
          <w:bottom w:val="none" w:color="auto" w:sz="0" w:space="0"/>
          <w:right w:val="none" w:color="auto" w:sz="0" w:space="0"/>
          <w:between w:val="none" w:color="auto" w:sz="0" w:space="0"/>
        </w:pBdr>
        <w:spacing w:line="400" w:lineRule="exact"/>
        <w:rPr>
          <w:rFonts w:ascii="仿宋" w:hAnsi="仿宋" w:eastAsia="仿宋"/>
          <w:bCs/>
          <w:kern w:val="2"/>
          <w:sz w:val="24"/>
          <w:szCs w:val="24"/>
        </w:rPr>
      </w:pPr>
      <w:r>
        <w:rPr>
          <w:rFonts w:hint="eastAsia" w:ascii="仿宋" w:hAnsi="仿宋" w:eastAsia="仿宋"/>
          <w:bCs/>
          <w:kern w:val="2"/>
          <w:sz w:val="24"/>
          <w:szCs w:val="24"/>
        </w:rPr>
        <w:t>甲方：（盖章）　　　　　　　　　    乙方：（盖章）</w:t>
      </w:r>
    </w:p>
    <w:p w14:paraId="4FEF93D1">
      <w:pPr>
        <w:pBdr>
          <w:top w:val="none" w:color="auto" w:sz="0" w:space="0"/>
          <w:left w:val="none" w:color="auto" w:sz="0" w:space="0"/>
          <w:bottom w:val="none" w:color="auto" w:sz="0" w:space="0"/>
          <w:right w:val="none" w:color="auto" w:sz="0" w:space="0"/>
          <w:between w:val="none" w:color="auto" w:sz="0" w:space="0"/>
        </w:pBdr>
        <w:spacing w:line="400" w:lineRule="exact"/>
        <w:rPr>
          <w:rFonts w:ascii="仿宋" w:hAnsi="仿宋" w:eastAsia="仿宋"/>
          <w:bCs/>
          <w:kern w:val="2"/>
          <w:sz w:val="24"/>
          <w:szCs w:val="24"/>
        </w:rPr>
      </w:pPr>
    </w:p>
    <w:p w14:paraId="6AD7ABA3">
      <w:pPr>
        <w:pBdr>
          <w:top w:val="none" w:color="auto" w:sz="0" w:space="0"/>
          <w:left w:val="none" w:color="auto" w:sz="0" w:space="0"/>
          <w:bottom w:val="none" w:color="auto" w:sz="0" w:space="0"/>
          <w:right w:val="none" w:color="auto" w:sz="0" w:space="0"/>
          <w:between w:val="none" w:color="auto" w:sz="0" w:space="0"/>
        </w:pBdr>
        <w:spacing w:line="400" w:lineRule="exact"/>
        <w:rPr>
          <w:rFonts w:ascii="仿宋" w:hAnsi="仿宋" w:eastAsia="仿宋"/>
          <w:bCs/>
          <w:kern w:val="2"/>
          <w:sz w:val="24"/>
          <w:szCs w:val="24"/>
        </w:rPr>
      </w:pPr>
      <w:r>
        <w:rPr>
          <w:rFonts w:hint="eastAsia" w:ascii="仿宋" w:hAnsi="仿宋" w:eastAsia="仿宋"/>
          <w:bCs/>
          <w:kern w:val="2"/>
          <w:sz w:val="24"/>
          <w:szCs w:val="24"/>
        </w:rPr>
        <w:t>签约代表：　　　　　　　　　　　   签约代表：</w:t>
      </w:r>
    </w:p>
    <w:p w14:paraId="3A966654">
      <w:pPr>
        <w:pBdr>
          <w:top w:val="none" w:color="auto" w:sz="0" w:space="0"/>
          <w:left w:val="none" w:color="auto" w:sz="0" w:space="0"/>
          <w:bottom w:val="none" w:color="auto" w:sz="0" w:space="0"/>
          <w:right w:val="none" w:color="auto" w:sz="0" w:space="0"/>
          <w:between w:val="none" w:color="auto" w:sz="0" w:space="0"/>
        </w:pBdr>
        <w:spacing w:line="400" w:lineRule="exact"/>
        <w:rPr>
          <w:rFonts w:ascii="仿宋" w:hAnsi="仿宋" w:eastAsia="仿宋"/>
          <w:bCs/>
          <w:kern w:val="2"/>
          <w:sz w:val="24"/>
          <w:szCs w:val="24"/>
        </w:rPr>
      </w:pPr>
      <w:r>
        <w:rPr>
          <w:rFonts w:hint="eastAsia" w:ascii="仿宋" w:hAnsi="仿宋" w:eastAsia="仿宋"/>
          <w:bCs/>
          <w:kern w:val="2"/>
          <w:sz w:val="24"/>
          <w:szCs w:val="24"/>
        </w:rPr>
        <w:t>地址：　　　　　　　　　　　　　　 地址：</w:t>
      </w:r>
    </w:p>
    <w:p w14:paraId="19D69B5D">
      <w:pPr>
        <w:pBdr>
          <w:top w:val="none" w:color="auto" w:sz="0" w:space="0"/>
          <w:left w:val="none" w:color="auto" w:sz="0" w:space="0"/>
          <w:bottom w:val="none" w:color="auto" w:sz="0" w:space="0"/>
          <w:right w:val="none" w:color="auto" w:sz="0" w:space="0"/>
          <w:between w:val="none" w:color="auto" w:sz="0" w:space="0"/>
        </w:pBdr>
        <w:spacing w:line="400" w:lineRule="exact"/>
        <w:rPr>
          <w:rFonts w:ascii="仿宋" w:hAnsi="仿宋" w:eastAsia="仿宋"/>
          <w:bCs/>
          <w:kern w:val="2"/>
          <w:sz w:val="24"/>
          <w:szCs w:val="24"/>
        </w:rPr>
      </w:pPr>
      <w:r>
        <w:rPr>
          <w:rFonts w:hint="eastAsia" w:ascii="仿宋" w:hAnsi="仿宋" w:eastAsia="仿宋"/>
          <w:bCs/>
          <w:kern w:val="2"/>
          <w:sz w:val="24"/>
          <w:szCs w:val="24"/>
        </w:rPr>
        <w:t>电话：　　　　　　　　　　　　　　 电话：</w:t>
      </w:r>
    </w:p>
    <w:p w14:paraId="452E5CF2">
      <w:pPr>
        <w:pBdr>
          <w:top w:val="none" w:color="auto" w:sz="0" w:space="0"/>
          <w:left w:val="none" w:color="auto" w:sz="0" w:space="0"/>
          <w:bottom w:val="none" w:color="auto" w:sz="0" w:space="0"/>
          <w:right w:val="none" w:color="auto" w:sz="0" w:space="0"/>
          <w:between w:val="none" w:color="auto" w:sz="0" w:space="0"/>
        </w:pBdr>
        <w:spacing w:line="400" w:lineRule="exact"/>
        <w:rPr>
          <w:rFonts w:ascii="仿宋" w:hAnsi="仿宋" w:eastAsia="仿宋"/>
          <w:bCs/>
          <w:kern w:val="2"/>
          <w:sz w:val="24"/>
          <w:szCs w:val="24"/>
        </w:rPr>
      </w:pPr>
      <w:r>
        <w:rPr>
          <w:rFonts w:hint="eastAsia" w:ascii="仿宋" w:hAnsi="仿宋" w:eastAsia="仿宋"/>
          <w:bCs/>
          <w:kern w:val="2"/>
          <w:sz w:val="24"/>
          <w:szCs w:val="24"/>
        </w:rPr>
        <w:t>　      　年　月　日　　　　　　　　　　　　　　 年　月　日</w:t>
      </w:r>
    </w:p>
    <w:p w14:paraId="03828CFD">
      <w:pPr>
        <w:pBdr>
          <w:top w:val="none" w:color="auto" w:sz="0" w:space="0"/>
          <w:left w:val="none" w:color="auto" w:sz="0" w:space="0"/>
          <w:bottom w:val="none" w:color="auto" w:sz="0" w:space="0"/>
          <w:right w:val="none" w:color="auto" w:sz="0" w:space="0"/>
          <w:between w:val="none" w:color="auto" w:sz="0" w:space="0"/>
        </w:pBdr>
        <w:spacing w:line="400" w:lineRule="exact"/>
        <w:rPr>
          <w:rFonts w:ascii="仿宋" w:hAnsi="仿宋" w:eastAsia="仿宋"/>
          <w:bCs/>
          <w:kern w:val="2"/>
          <w:sz w:val="24"/>
          <w:szCs w:val="24"/>
        </w:rPr>
      </w:pPr>
      <w:r>
        <w:rPr>
          <w:rFonts w:hint="eastAsia" w:ascii="仿宋" w:hAnsi="仿宋" w:eastAsia="仿宋"/>
          <w:bCs/>
          <w:kern w:val="2"/>
          <w:sz w:val="24"/>
          <w:szCs w:val="24"/>
        </w:rPr>
        <w:t>　　</w:t>
      </w:r>
    </w:p>
    <w:p w14:paraId="0630E8C2">
      <w:pPr>
        <w:pBdr>
          <w:top w:val="none" w:color="auto" w:sz="0" w:space="0"/>
          <w:left w:val="none" w:color="auto" w:sz="0" w:space="0"/>
          <w:bottom w:val="none" w:color="auto" w:sz="0" w:space="0"/>
          <w:right w:val="none" w:color="auto" w:sz="0" w:space="0"/>
          <w:between w:val="none" w:color="auto" w:sz="0" w:space="0"/>
        </w:pBdr>
        <w:rPr>
          <w:rFonts w:ascii="仿宋" w:hAnsi="仿宋" w:eastAsia="仿宋"/>
          <w:b/>
          <w:bCs/>
          <w:kern w:val="2"/>
          <w:sz w:val="24"/>
          <w:szCs w:val="24"/>
        </w:rPr>
      </w:pPr>
    </w:p>
    <w:p w14:paraId="0EA8C813">
      <w:pPr>
        <w:jc w:val="left"/>
        <w:rPr>
          <w:rFonts w:ascii="仿宋" w:hAnsi="仿宋" w:eastAsia="仿宋"/>
          <w:b/>
          <w:bCs/>
          <w:sz w:val="28"/>
          <w:szCs w:val="28"/>
        </w:rPr>
      </w:pPr>
      <w:r>
        <w:rPr>
          <w:rFonts w:hint="eastAsia" w:ascii="仿宋" w:hAnsi="仿宋" w:eastAsia="仿宋"/>
          <w:b/>
          <w:bCs/>
          <w:sz w:val="36"/>
          <w:szCs w:val="36"/>
        </w:rPr>
        <w:br w:type="page"/>
      </w:r>
      <w:r>
        <w:rPr>
          <w:rFonts w:hint="eastAsia" w:ascii="黑体" w:hAnsi="黑体" w:eastAsia="黑体" w:cs="黑体"/>
          <w:sz w:val="28"/>
          <w:szCs w:val="28"/>
        </w:rPr>
        <w:t>附件</w:t>
      </w:r>
      <w:r>
        <w:rPr>
          <w:rFonts w:hint="eastAsia" w:ascii="黑体" w:hAnsi="黑体" w:eastAsia="黑体" w:cs="黑体"/>
          <w:sz w:val="28"/>
          <w:szCs w:val="28"/>
          <w:lang w:val="en-US" w:eastAsia="zh-CN"/>
        </w:rPr>
        <w:t>4</w:t>
      </w:r>
      <w:r>
        <w:rPr>
          <w:rFonts w:hint="eastAsia" w:ascii="黑体" w:hAnsi="黑体" w:eastAsia="黑体" w:cs="黑体"/>
          <w:sz w:val="28"/>
          <w:szCs w:val="28"/>
        </w:rPr>
        <w:t>：</w:t>
      </w:r>
    </w:p>
    <w:tbl>
      <w:tblPr>
        <w:tblStyle w:val="13"/>
        <w:tblW w:w="0" w:type="auto"/>
        <w:jc w:val="center"/>
        <w:tblLayout w:type="fixed"/>
        <w:tblCellMar>
          <w:top w:w="15" w:type="dxa"/>
          <w:left w:w="15" w:type="dxa"/>
          <w:bottom w:w="15" w:type="dxa"/>
          <w:right w:w="15" w:type="dxa"/>
        </w:tblCellMar>
      </w:tblPr>
      <w:tblGrid>
        <w:gridCol w:w="581"/>
        <w:gridCol w:w="1333"/>
        <w:gridCol w:w="1633"/>
        <w:gridCol w:w="1631"/>
        <w:gridCol w:w="1117"/>
        <w:gridCol w:w="1501"/>
        <w:gridCol w:w="1471"/>
        <w:gridCol w:w="1482"/>
      </w:tblGrid>
      <w:tr w14:paraId="64154612">
        <w:tblPrEx>
          <w:tblCellMar>
            <w:top w:w="15" w:type="dxa"/>
            <w:left w:w="15" w:type="dxa"/>
            <w:bottom w:w="15" w:type="dxa"/>
            <w:right w:w="15" w:type="dxa"/>
          </w:tblCellMar>
        </w:tblPrEx>
        <w:trPr>
          <w:trHeight w:val="469" w:hRule="atLeast"/>
          <w:jc w:val="center"/>
        </w:trPr>
        <w:tc>
          <w:tcPr>
            <w:tcW w:w="10749" w:type="dxa"/>
            <w:gridSpan w:val="8"/>
            <w:tcBorders>
              <w:top w:val="single" w:color="000000" w:sz="12" w:space="0"/>
              <w:left w:val="single" w:color="000000" w:sz="12" w:space="0"/>
              <w:bottom w:val="single" w:color="000000" w:sz="12" w:space="0"/>
              <w:right w:val="single" w:color="000000" w:sz="12" w:space="0"/>
            </w:tcBorders>
            <w:tcMar>
              <w:top w:w="12" w:type="dxa"/>
              <w:left w:w="12" w:type="dxa"/>
              <w:right w:w="12" w:type="dxa"/>
            </w:tcMar>
            <w:vAlign w:val="bottom"/>
          </w:tcPr>
          <w:p w14:paraId="1529BA00">
            <w:pPr>
              <w:widowControl/>
              <w:jc w:val="center"/>
              <w:textAlignment w:val="bottom"/>
              <w:rPr>
                <w:rFonts w:ascii="宋体" w:hAnsi="宋体" w:cs="宋体"/>
                <w:b/>
                <w:color w:val="000000"/>
                <w:sz w:val="32"/>
                <w:szCs w:val="32"/>
              </w:rPr>
            </w:pPr>
            <w:r>
              <w:rPr>
                <w:rFonts w:hint="eastAsia" w:ascii="宋体" w:hAnsi="宋体" w:cs="宋体"/>
                <w:b/>
                <w:color w:val="000000"/>
                <w:sz w:val="32"/>
                <w:szCs w:val="32"/>
                <w:lang w:val="en-US" w:eastAsia="zh-CN" w:bidi="ar"/>
              </w:rPr>
              <w:t xml:space="preserve"> </w:t>
            </w:r>
            <w:r>
              <w:rPr>
                <w:rFonts w:hint="eastAsia" w:ascii="宋体" w:hAnsi="宋体" w:cs="宋体"/>
                <w:b/>
                <w:color w:val="000000"/>
                <w:sz w:val="32"/>
                <w:szCs w:val="32"/>
                <w:lang w:bidi="ar"/>
              </w:rPr>
              <w:t>（样表）</w:t>
            </w:r>
          </w:p>
        </w:tc>
      </w:tr>
      <w:tr w14:paraId="60715B9C">
        <w:tblPrEx>
          <w:tblCellMar>
            <w:top w:w="15" w:type="dxa"/>
            <w:left w:w="15" w:type="dxa"/>
            <w:bottom w:w="15" w:type="dxa"/>
            <w:right w:w="15" w:type="dxa"/>
          </w:tblCellMar>
        </w:tblPrEx>
        <w:trPr>
          <w:trHeight w:val="397" w:hRule="atLeast"/>
          <w:jc w:val="center"/>
        </w:trPr>
        <w:tc>
          <w:tcPr>
            <w:tcW w:w="10749" w:type="dxa"/>
            <w:gridSpan w:val="8"/>
            <w:tcBorders>
              <w:top w:val="single" w:color="000000" w:sz="12" w:space="0"/>
              <w:left w:val="single" w:color="000000" w:sz="12" w:space="0"/>
              <w:bottom w:val="single" w:color="000000" w:sz="4" w:space="0"/>
              <w:right w:val="single" w:color="000000" w:sz="12" w:space="0"/>
            </w:tcBorders>
            <w:shd w:val="pct10" w:color="auto" w:fill="E5E5E5"/>
            <w:tcMar>
              <w:top w:w="12" w:type="dxa"/>
              <w:left w:w="12" w:type="dxa"/>
              <w:right w:w="12" w:type="dxa"/>
            </w:tcMar>
            <w:vAlign w:val="center"/>
          </w:tcPr>
          <w:p w14:paraId="464A9CB5">
            <w:pPr>
              <w:widowControl/>
              <w:jc w:val="left"/>
              <w:textAlignment w:val="center"/>
              <w:rPr>
                <w:rFonts w:ascii="宋体" w:hAnsi="宋体" w:cs="宋体"/>
                <w:b/>
                <w:color w:val="000000"/>
                <w:sz w:val="28"/>
                <w:szCs w:val="28"/>
              </w:rPr>
            </w:pPr>
            <w:r>
              <w:rPr>
                <w:rFonts w:hint="eastAsia" w:ascii="宋体" w:hAnsi="宋体" w:cs="宋体"/>
                <w:b/>
                <w:color w:val="000000"/>
                <w:sz w:val="28"/>
                <w:szCs w:val="28"/>
                <w:lang w:bidi="ar"/>
              </w:rPr>
              <w:t>产废单位：</w:t>
            </w:r>
          </w:p>
        </w:tc>
      </w:tr>
      <w:tr w14:paraId="11D954C7">
        <w:tblPrEx>
          <w:tblCellMar>
            <w:top w:w="15" w:type="dxa"/>
            <w:left w:w="15" w:type="dxa"/>
            <w:bottom w:w="15" w:type="dxa"/>
            <w:right w:w="15" w:type="dxa"/>
          </w:tblCellMar>
        </w:tblPrEx>
        <w:trPr>
          <w:trHeight w:val="350" w:hRule="atLeast"/>
          <w:jc w:val="center"/>
        </w:trPr>
        <w:tc>
          <w:tcPr>
            <w:tcW w:w="10749" w:type="dxa"/>
            <w:gridSpan w:val="8"/>
            <w:tcBorders>
              <w:top w:val="single" w:color="000000" w:sz="4" w:space="0"/>
              <w:left w:val="single" w:color="000000" w:sz="12" w:space="0"/>
              <w:bottom w:val="single" w:color="000000" w:sz="4" w:space="0"/>
              <w:right w:val="single" w:color="000000" w:sz="12" w:space="0"/>
            </w:tcBorders>
            <w:shd w:val="pct10" w:color="auto" w:fill="E5E5E5"/>
            <w:tcMar>
              <w:top w:w="12" w:type="dxa"/>
              <w:left w:w="12" w:type="dxa"/>
              <w:right w:w="12" w:type="dxa"/>
            </w:tcMar>
            <w:vAlign w:val="center"/>
          </w:tcPr>
          <w:p w14:paraId="09BA6356">
            <w:pPr>
              <w:widowControl/>
              <w:textAlignment w:val="center"/>
              <w:rPr>
                <w:rFonts w:ascii="仿宋" w:hAnsi="仿宋" w:eastAsia="仿宋" w:cs="仿宋"/>
                <w:b/>
                <w:color w:val="000000"/>
                <w:sz w:val="24"/>
                <w:szCs w:val="24"/>
              </w:rPr>
            </w:pPr>
            <w:r>
              <w:rPr>
                <w:rFonts w:hint="eastAsia" w:ascii="仿宋" w:hAnsi="仿宋" w:eastAsia="仿宋" w:cs="仿宋"/>
                <w:b/>
                <w:color w:val="000000"/>
                <w:sz w:val="24"/>
                <w:szCs w:val="24"/>
                <w:lang w:bidi="ar"/>
              </w:rPr>
              <w:t>一、处置费</w:t>
            </w:r>
          </w:p>
        </w:tc>
      </w:tr>
      <w:tr w14:paraId="79CE37DC">
        <w:tblPrEx>
          <w:tblCellMar>
            <w:top w:w="15" w:type="dxa"/>
            <w:left w:w="15" w:type="dxa"/>
            <w:bottom w:w="15" w:type="dxa"/>
            <w:right w:w="15" w:type="dxa"/>
          </w:tblCellMar>
        </w:tblPrEx>
        <w:trPr>
          <w:trHeight w:val="629" w:hRule="atLeast"/>
          <w:jc w:val="center"/>
        </w:trPr>
        <w:tc>
          <w:tcPr>
            <w:tcW w:w="581" w:type="dxa"/>
            <w:tcBorders>
              <w:top w:val="single" w:color="000000" w:sz="4" w:space="0"/>
              <w:left w:val="single" w:color="000000" w:sz="12" w:space="0"/>
              <w:bottom w:val="single" w:color="000000" w:sz="4" w:space="0"/>
              <w:right w:val="single" w:color="000000" w:sz="4" w:space="0"/>
            </w:tcBorders>
            <w:tcMar>
              <w:top w:w="12" w:type="dxa"/>
              <w:left w:w="12" w:type="dxa"/>
              <w:right w:w="12" w:type="dxa"/>
            </w:tcMar>
            <w:vAlign w:val="center"/>
          </w:tcPr>
          <w:p w14:paraId="687AAB02">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sz w:val="22"/>
                <w:szCs w:val="22"/>
                <w:lang w:bidi="ar"/>
              </w:rPr>
              <w:t>编号</w:t>
            </w:r>
          </w:p>
        </w:tc>
        <w:tc>
          <w:tcPr>
            <w:tcW w:w="13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F5C177">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sz w:val="22"/>
                <w:szCs w:val="22"/>
                <w:lang w:bidi="ar"/>
              </w:rPr>
              <w:t>转运时间</w:t>
            </w:r>
          </w:p>
        </w:tc>
        <w:tc>
          <w:tcPr>
            <w:tcW w:w="16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6A4E17">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sz w:val="22"/>
                <w:szCs w:val="22"/>
                <w:lang w:bidi="ar"/>
              </w:rPr>
              <w:t>转移联单号</w:t>
            </w:r>
          </w:p>
        </w:tc>
        <w:tc>
          <w:tcPr>
            <w:tcW w:w="1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7BF798">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sz w:val="22"/>
                <w:szCs w:val="22"/>
                <w:lang w:bidi="ar"/>
              </w:rPr>
              <w:t>危废名称</w:t>
            </w:r>
          </w:p>
        </w:tc>
        <w:tc>
          <w:tcPr>
            <w:tcW w:w="11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C1D35F">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sz w:val="22"/>
                <w:szCs w:val="22"/>
                <w:lang w:bidi="ar"/>
              </w:rPr>
              <w:t>处置数量（t）</w:t>
            </w:r>
          </w:p>
        </w:tc>
        <w:tc>
          <w:tcPr>
            <w:tcW w:w="15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7E95F7">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sz w:val="22"/>
                <w:szCs w:val="22"/>
                <w:lang w:bidi="ar"/>
              </w:rPr>
              <w:t>合同单价（元/t）</w:t>
            </w:r>
          </w:p>
        </w:tc>
        <w:tc>
          <w:tcPr>
            <w:tcW w:w="14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16EC0F">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sz w:val="22"/>
                <w:szCs w:val="22"/>
                <w:lang w:bidi="ar"/>
              </w:rPr>
              <w:t>金额（元）</w:t>
            </w:r>
          </w:p>
        </w:tc>
        <w:tc>
          <w:tcPr>
            <w:tcW w:w="1482" w:type="dxa"/>
            <w:tcBorders>
              <w:top w:val="single" w:color="000000" w:sz="4" w:space="0"/>
              <w:left w:val="single" w:color="000000" w:sz="4" w:space="0"/>
              <w:bottom w:val="single" w:color="000000" w:sz="4" w:space="0"/>
              <w:right w:val="single" w:color="000000" w:sz="12" w:space="0"/>
            </w:tcBorders>
            <w:tcMar>
              <w:top w:w="12" w:type="dxa"/>
              <w:left w:w="12" w:type="dxa"/>
              <w:right w:w="12" w:type="dxa"/>
            </w:tcMar>
            <w:vAlign w:val="center"/>
          </w:tcPr>
          <w:p w14:paraId="4AE91281">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sz w:val="22"/>
                <w:szCs w:val="22"/>
                <w:lang w:bidi="ar"/>
              </w:rPr>
              <w:t>备注</w:t>
            </w:r>
          </w:p>
        </w:tc>
      </w:tr>
      <w:tr w14:paraId="7D15F35E">
        <w:tblPrEx>
          <w:tblCellMar>
            <w:top w:w="15" w:type="dxa"/>
            <w:left w:w="15" w:type="dxa"/>
            <w:bottom w:w="15" w:type="dxa"/>
            <w:right w:w="15" w:type="dxa"/>
          </w:tblCellMar>
        </w:tblPrEx>
        <w:trPr>
          <w:trHeight w:val="396" w:hRule="atLeast"/>
          <w:jc w:val="center"/>
        </w:trPr>
        <w:tc>
          <w:tcPr>
            <w:tcW w:w="581" w:type="dxa"/>
            <w:tcBorders>
              <w:top w:val="single" w:color="000000" w:sz="4" w:space="0"/>
              <w:left w:val="single" w:color="000000" w:sz="12" w:space="0"/>
              <w:bottom w:val="single" w:color="000000" w:sz="4" w:space="0"/>
              <w:right w:val="single" w:color="000000" w:sz="4" w:space="0"/>
            </w:tcBorders>
            <w:tcMar>
              <w:top w:w="12" w:type="dxa"/>
              <w:left w:w="12" w:type="dxa"/>
              <w:right w:w="12" w:type="dxa"/>
            </w:tcMar>
            <w:vAlign w:val="center"/>
          </w:tcPr>
          <w:p w14:paraId="20682488">
            <w:pPr>
              <w:widowControl/>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lang w:bidi="ar"/>
              </w:rPr>
              <w:t>1</w:t>
            </w:r>
          </w:p>
        </w:tc>
        <w:tc>
          <w:tcPr>
            <w:tcW w:w="13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22D7C1F">
            <w:pPr>
              <w:jc w:val="center"/>
              <w:rPr>
                <w:rFonts w:ascii="仿宋" w:hAnsi="仿宋" w:eastAsia="仿宋" w:cs="仿宋"/>
                <w:color w:val="000000"/>
                <w:sz w:val="21"/>
                <w:szCs w:val="21"/>
              </w:rPr>
            </w:pPr>
          </w:p>
        </w:tc>
        <w:tc>
          <w:tcPr>
            <w:tcW w:w="16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7D463D">
            <w:pPr>
              <w:jc w:val="center"/>
              <w:rPr>
                <w:rFonts w:ascii="宋体" w:hAnsi="宋体" w:cs="宋体"/>
                <w:color w:val="000000"/>
                <w:sz w:val="21"/>
                <w:szCs w:val="21"/>
              </w:rPr>
            </w:pPr>
          </w:p>
        </w:tc>
        <w:tc>
          <w:tcPr>
            <w:tcW w:w="1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BA4DB0">
            <w:pPr>
              <w:jc w:val="center"/>
              <w:rPr>
                <w:rFonts w:ascii="宋体" w:hAnsi="宋体" w:cs="宋体"/>
                <w:color w:val="000000"/>
                <w:sz w:val="21"/>
                <w:szCs w:val="21"/>
              </w:rPr>
            </w:pPr>
          </w:p>
        </w:tc>
        <w:tc>
          <w:tcPr>
            <w:tcW w:w="11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BEDD13">
            <w:pPr>
              <w:jc w:val="center"/>
              <w:rPr>
                <w:rFonts w:ascii="宋体" w:hAnsi="宋体" w:cs="宋体"/>
                <w:color w:val="000000"/>
                <w:sz w:val="21"/>
                <w:szCs w:val="21"/>
              </w:rPr>
            </w:pPr>
          </w:p>
        </w:tc>
        <w:tc>
          <w:tcPr>
            <w:tcW w:w="15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C2265E">
            <w:pPr>
              <w:jc w:val="center"/>
              <w:rPr>
                <w:rFonts w:ascii="宋体" w:hAnsi="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5284EA">
            <w:pPr>
              <w:jc w:val="center"/>
              <w:rPr>
                <w:rFonts w:ascii="仿宋" w:hAnsi="仿宋" w:eastAsia="仿宋" w:cs="仿宋"/>
                <w:color w:val="000000"/>
                <w:sz w:val="21"/>
                <w:szCs w:val="21"/>
              </w:rPr>
            </w:pPr>
          </w:p>
        </w:tc>
        <w:tc>
          <w:tcPr>
            <w:tcW w:w="1482" w:type="dxa"/>
            <w:tcBorders>
              <w:top w:val="single" w:color="000000" w:sz="4" w:space="0"/>
              <w:left w:val="single" w:color="000000" w:sz="4" w:space="0"/>
              <w:bottom w:val="single" w:color="000000" w:sz="4" w:space="0"/>
              <w:right w:val="single" w:color="000000" w:sz="12" w:space="0"/>
            </w:tcBorders>
            <w:tcMar>
              <w:top w:w="12" w:type="dxa"/>
              <w:left w:w="12" w:type="dxa"/>
              <w:right w:w="12" w:type="dxa"/>
            </w:tcMar>
            <w:vAlign w:val="center"/>
          </w:tcPr>
          <w:p w14:paraId="1E4AA5CE">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r>
      <w:tr w14:paraId="0F247C00">
        <w:tblPrEx>
          <w:tblCellMar>
            <w:top w:w="15" w:type="dxa"/>
            <w:left w:w="15" w:type="dxa"/>
            <w:bottom w:w="15" w:type="dxa"/>
            <w:right w:w="15" w:type="dxa"/>
          </w:tblCellMar>
        </w:tblPrEx>
        <w:trPr>
          <w:trHeight w:val="396" w:hRule="atLeast"/>
          <w:jc w:val="center"/>
        </w:trPr>
        <w:tc>
          <w:tcPr>
            <w:tcW w:w="581" w:type="dxa"/>
            <w:tcBorders>
              <w:top w:val="single" w:color="000000" w:sz="4" w:space="0"/>
              <w:left w:val="single" w:color="000000" w:sz="12" w:space="0"/>
              <w:bottom w:val="single" w:color="000000" w:sz="4" w:space="0"/>
              <w:right w:val="single" w:color="000000" w:sz="4" w:space="0"/>
            </w:tcBorders>
            <w:tcMar>
              <w:top w:w="12" w:type="dxa"/>
              <w:left w:w="12" w:type="dxa"/>
              <w:right w:w="12" w:type="dxa"/>
            </w:tcMar>
            <w:vAlign w:val="center"/>
          </w:tcPr>
          <w:p w14:paraId="258996AD">
            <w:pPr>
              <w:widowControl/>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lang w:bidi="ar"/>
              </w:rPr>
              <w:t>2</w:t>
            </w:r>
          </w:p>
        </w:tc>
        <w:tc>
          <w:tcPr>
            <w:tcW w:w="13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279136D">
            <w:pPr>
              <w:jc w:val="center"/>
              <w:rPr>
                <w:rFonts w:ascii="仿宋" w:hAnsi="仿宋" w:eastAsia="仿宋" w:cs="仿宋"/>
                <w:color w:val="000000"/>
                <w:sz w:val="21"/>
                <w:szCs w:val="21"/>
              </w:rPr>
            </w:pPr>
          </w:p>
        </w:tc>
        <w:tc>
          <w:tcPr>
            <w:tcW w:w="16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6A6F945">
            <w:pPr>
              <w:jc w:val="center"/>
              <w:rPr>
                <w:rFonts w:ascii="宋体" w:hAnsi="宋体" w:cs="宋体"/>
                <w:color w:val="000000"/>
                <w:sz w:val="21"/>
                <w:szCs w:val="21"/>
              </w:rPr>
            </w:pPr>
          </w:p>
        </w:tc>
        <w:tc>
          <w:tcPr>
            <w:tcW w:w="1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854407">
            <w:pPr>
              <w:jc w:val="center"/>
              <w:rPr>
                <w:rFonts w:ascii="宋体" w:hAnsi="宋体" w:cs="宋体"/>
                <w:color w:val="000000"/>
                <w:sz w:val="21"/>
                <w:szCs w:val="21"/>
              </w:rPr>
            </w:pPr>
          </w:p>
        </w:tc>
        <w:tc>
          <w:tcPr>
            <w:tcW w:w="11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2BA8AA7">
            <w:pPr>
              <w:jc w:val="center"/>
              <w:rPr>
                <w:rFonts w:ascii="宋体" w:hAnsi="宋体" w:cs="宋体"/>
                <w:color w:val="000000"/>
                <w:sz w:val="21"/>
                <w:szCs w:val="21"/>
              </w:rPr>
            </w:pPr>
          </w:p>
        </w:tc>
        <w:tc>
          <w:tcPr>
            <w:tcW w:w="15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6639DE">
            <w:pPr>
              <w:jc w:val="center"/>
              <w:rPr>
                <w:rFonts w:ascii="宋体" w:hAnsi="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3FBE004">
            <w:pPr>
              <w:jc w:val="center"/>
              <w:rPr>
                <w:rFonts w:ascii="仿宋" w:hAnsi="仿宋" w:eastAsia="仿宋" w:cs="仿宋"/>
                <w:color w:val="000000"/>
                <w:sz w:val="21"/>
                <w:szCs w:val="21"/>
              </w:rPr>
            </w:pPr>
          </w:p>
        </w:tc>
        <w:tc>
          <w:tcPr>
            <w:tcW w:w="1482" w:type="dxa"/>
            <w:tcBorders>
              <w:top w:val="single" w:color="000000" w:sz="4" w:space="0"/>
              <w:left w:val="single" w:color="000000" w:sz="4" w:space="0"/>
              <w:bottom w:val="single" w:color="000000" w:sz="4" w:space="0"/>
              <w:right w:val="single" w:color="000000" w:sz="12" w:space="0"/>
            </w:tcBorders>
            <w:tcMar>
              <w:top w:w="12" w:type="dxa"/>
              <w:left w:w="12" w:type="dxa"/>
              <w:right w:w="12" w:type="dxa"/>
            </w:tcMar>
            <w:vAlign w:val="center"/>
          </w:tcPr>
          <w:p w14:paraId="3021FBFC">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r>
      <w:tr w14:paraId="43CDDB62">
        <w:tblPrEx>
          <w:tblCellMar>
            <w:top w:w="15" w:type="dxa"/>
            <w:left w:w="15" w:type="dxa"/>
            <w:bottom w:w="15" w:type="dxa"/>
            <w:right w:w="15" w:type="dxa"/>
          </w:tblCellMar>
        </w:tblPrEx>
        <w:trPr>
          <w:trHeight w:val="424" w:hRule="atLeast"/>
          <w:jc w:val="center"/>
        </w:trPr>
        <w:tc>
          <w:tcPr>
            <w:tcW w:w="5178" w:type="dxa"/>
            <w:gridSpan w:val="4"/>
            <w:tcBorders>
              <w:top w:val="single" w:color="000000" w:sz="4" w:space="0"/>
              <w:left w:val="single" w:color="000000" w:sz="12" w:space="0"/>
              <w:bottom w:val="single" w:color="000000" w:sz="12" w:space="0"/>
              <w:right w:val="single" w:color="000000" w:sz="4" w:space="0"/>
            </w:tcBorders>
            <w:tcMar>
              <w:top w:w="12" w:type="dxa"/>
              <w:left w:w="12" w:type="dxa"/>
              <w:right w:w="12" w:type="dxa"/>
            </w:tcMar>
            <w:vAlign w:val="center"/>
          </w:tcPr>
          <w:p w14:paraId="2C6F87B5">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sz w:val="22"/>
                <w:szCs w:val="22"/>
                <w:lang w:bidi="ar"/>
              </w:rPr>
              <w:t>小计</w:t>
            </w:r>
          </w:p>
        </w:tc>
        <w:tc>
          <w:tcPr>
            <w:tcW w:w="1117" w:type="dxa"/>
            <w:tcBorders>
              <w:top w:val="single" w:color="000000" w:sz="4" w:space="0"/>
              <w:left w:val="single" w:color="000000" w:sz="4" w:space="0"/>
              <w:bottom w:val="single" w:color="000000" w:sz="12" w:space="0"/>
              <w:right w:val="single" w:color="000000" w:sz="4" w:space="0"/>
            </w:tcBorders>
            <w:tcMar>
              <w:top w:w="12" w:type="dxa"/>
              <w:left w:w="12" w:type="dxa"/>
              <w:right w:w="12" w:type="dxa"/>
            </w:tcMar>
            <w:vAlign w:val="center"/>
          </w:tcPr>
          <w:p w14:paraId="6F3791C1">
            <w:pPr>
              <w:jc w:val="center"/>
              <w:rPr>
                <w:rFonts w:ascii="仿宋" w:hAnsi="仿宋" w:eastAsia="仿宋" w:cs="仿宋"/>
                <w:color w:val="000000"/>
                <w:sz w:val="21"/>
                <w:szCs w:val="21"/>
              </w:rPr>
            </w:pPr>
          </w:p>
        </w:tc>
        <w:tc>
          <w:tcPr>
            <w:tcW w:w="1501" w:type="dxa"/>
            <w:tcBorders>
              <w:top w:val="single" w:color="000000" w:sz="4" w:space="0"/>
              <w:left w:val="single" w:color="000000" w:sz="4" w:space="0"/>
              <w:bottom w:val="single" w:color="000000" w:sz="12" w:space="0"/>
              <w:right w:val="single" w:color="000000" w:sz="4" w:space="0"/>
            </w:tcBorders>
            <w:tcMar>
              <w:top w:w="12" w:type="dxa"/>
              <w:left w:w="12" w:type="dxa"/>
              <w:right w:w="12" w:type="dxa"/>
            </w:tcMar>
            <w:vAlign w:val="center"/>
          </w:tcPr>
          <w:p w14:paraId="6C717AE0">
            <w:pPr>
              <w:jc w:val="center"/>
              <w:rPr>
                <w:rFonts w:ascii="仿宋" w:hAnsi="仿宋" w:eastAsia="仿宋" w:cs="仿宋"/>
                <w:color w:val="000000"/>
                <w:sz w:val="21"/>
                <w:szCs w:val="21"/>
              </w:rPr>
            </w:pPr>
          </w:p>
        </w:tc>
        <w:tc>
          <w:tcPr>
            <w:tcW w:w="1471" w:type="dxa"/>
            <w:tcBorders>
              <w:top w:val="single" w:color="000000" w:sz="4" w:space="0"/>
              <w:left w:val="single" w:color="000000" w:sz="4" w:space="0"/>
              <w:bottom w:val="single" w:color="000000" w:sz="12" w:space="0"/>
              <w:right w:val="single" w:color="000000" w:sz="4" w:space="0"/>
            </w:tcBorders>
            <w:tcMar>
              <w:top w:w="12" w:type="dxa"/>
              <w:left w:w="12" w:type="dxa"/>
              <w:right w:w="12" w:type="dxa"/>
            </w:tcMar>
            <w:vAlign w:val="center"/>
          </w:tcPr>
          <w:p w14:paraId="7DB4DDAB">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0.00</w:t>
            </w:r>
          </w:p>
        </w:tc>
        <w:tc>
          <w:tcPr>
            <w:tcW w:w="1482" w:type="dxa"/>
            <w:tcBorders>
              <w:top w:val="single" w:color="000000" w:sz="4" w:space="0"/>
              <w:left w:val="single" w:color="000000" w:sz="4" w:space="0"/>
              <w:bottom w:val="single" w:color="000000" w:sz="4" w:space="0"/>
              <w:right w:val="single" w:color="000000" w:sz="12" w:space="0"/>
            </w:tcBorders>
            <w:tcMar>
              <w:top w:w="12" w:type="dxa"/>
              <w:left w:w="12" w:type="dxa"/>
              <w:right w:w="12" w:type="dxa"/>
            </w:tcMar>
            <w:vAlign w:val="center"/>
          </w:tcPr>
          <w:p w14:paraId="32639517">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r>
      <w:tr w14:paraId="1D8C73F2">
        <w:tblPrEx>
          <w:tblCellMar>
            <w:top w:w="15" w:type="dxa"/>
            <w:left w:w="15" w:type="dxa"/>
            <w:bottom w:w="15" w:type="dxa"/>
            <w:right w:w="15" w:type="dxa"/>
          </w:tblCellMar>
        </w:tblPrEx>
        <w:trPr>
          <w:trHeight w:val="613" w:hRule="atLeast"/>
          <w:jc w:val="center"/>
        </w:trPr>
        <w:tc>
          <w:tcPr>
            <w:tcW w:w="10749" w:type="dxa"/>
            <w:gridSpan w:val="8"/>
            <w:tcBorders>
              <w:top w:val="single" w:color="000000" w:sz="12" w:space="0"/>
              <w:left w:val="single" w:color="000000" w:sz="12" w:space="0"/>
              <w:right w:val="single" w:color="000000" w:sz="12" w:space="0"/>
            </w:tcBorders>
            <w:shd w:val="pct10" w:color="auto" w:fill="E5E5E5"/>
            <w:tcMar>
              <w:top w:w="12" w:type="dxa"/>
              <w:left w:w="12" w:type="dxa"/>
              <w:right w:w="12" w:type="dxa"/>
            </w:tcMar>
            <w:vAlign w:val="center"/>
          </w:tcPr>
          <w:p w14:paraId="1677816C">
            <w:pPr>
              <w:widowControl/>
              <w:textAlignment w:val="center"/>
              <w:rPr>
                <w:rFonts w:ascii="仿宋" w:hAnsi="仿宋" w:eastAsia="仿宋" w:cs="仿宋"/>
                <w:b/>
                <w:color w:val="000000"/>
                <w:sz w:val="24"/>
                <w:szCs w:val="24"/>
              </w:rPr>
            </w:pPr>
            <w:r>
              <w:rPr>
                <w:rFonts w:hint="eastAsia" w:ascii="仿宋" w:hAnsi="仿宋" w:eastAsia="仿宋" w:cs="仿宋"/>
                <w:b/>
                <w:color w:val="000000"/>
                <w:sz w:val="24"/>
                <w:szCs w:val="24"/>
                <w:lang w:bidi="ar"/>
              </w:rPr>
              <w:t>二、其他费用（含运输费、装车费、顿时费、返空费、劳务费、包装费等）</w:t>
            </w:r>
          </w:p>
        </w:tc>
      </w:tr>
      <w:tr w14:paraId="18D46E40">
        <w:tblPrEx>
          <w:tblCellMar>
            <w:top w:w="15" w:type="dxa"/>
            <w:left w:w="15" w:type="dxa"/>
            <w:bottom w:w="15" w:type="dxa"/>
            <w:right w:w="15" w:type="dxa"/>
          </w:tblCellMar>
        </w:tblPrEx>
        <w:trPr>
          <w:trHeight w:val="490" w:hRule="atLeast"/>
          <w:jc w:val="center"/>
        </w:trPr>
        <w:tc>
          <w:tcPr>
            <w:tcW w:w="581" w:type="dxa"/>
            <w:tcBorders>
              <w:top w:val="single" w:color="000000" w:sz="4" w:space="0"/>
              <w:left w:val="single" w:color="000000" w:sz="12" w:space="0"/>
              <w:bottom w:val="single" w:color="000000" w:sz="4" w:space="0"/>
              <w:right w:val="single" w:color="000000" w:sz="4" w:space="0"/>
            </w:tcBorders>
            <w:tcMar>
              <w:top w:w="12" w:type="dxa"/>
              <w:left w:w="12" w:type="dxa"/>
              <w:right w:w="12" w:type="dxa"/>
            </w:tcMar>
            <w:vAlign w:val="center"/>
          </w:tcPr>
          <w:p w14:paraId="73C05F1C">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sz w:val="22"/>
                <w:szCs w:val="22"/>
                <w:lang w:bidi="ar"/>
              </w:rPr>
              <w:t>编号</w:t>
            </w:r>
          </w:p>
        </w:tc>
        <w:tc>
          <w:tcPr>
            <w:tcW w:w="13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963175">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sz w:val="22"/>
                <w:szCs w:val="22"/>
                <w:lang w:bidi="ar"/>
              </w:rPr>
              <w:t>转运时间</w:t>
            </w:r>
          </w:p>
        </w:tc>
        <w:tc>
          <w:tcPr>
            <w:tcW w:w="16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B3E4C38">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sz w:val="22"/>
                <w:szCs w:val="22"/>
                <w:lang w:bidi="ar"/>
              </w:rPr>
              <w:t>费用名称</w:t>
            </w:r>
          </w:p>
        </w:tc>
        <w:tc>
          <w:tcPr>
            <w:tcW w:w="1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AD979C">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sz w:val="22"/>
                <w:szCs w:val="22"/>
                <w:lang w:bidi="ar"/>
              </w:rPr>
              <w:t>单位</w:t>
            </w:r>
          </w:p>
        </w:tc>
        <w:tc>
          <w:tcPr>
            <w:tcW w:w="11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305A98">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sz w:val="22"/>
                <w:szCs w:val="22"/>
                <w:lang w:bidi="ar"/>
              </w:rPr>
              <w:t>数量</w:t>
            </w:r>
          </w:p>
        </w:tc>
        <w:tc>
          <w:tcPr>
            <w:tcW w:w="15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17E707">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sz w:val="22"/>
                <w:szCs w:val="22"/>
                <w:lang w:bidi="ar"/>
              </w:rPr>
              <w:t>单价（元/次）</w:t>
            </w:r>
          </w:p>
        </w:tc>
        <w:tc>
          <w:tcPr>
            <w:tcW w:w="14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70FA24">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sz w:val="22"/>
                <w:szCs w:val="22"/>
                <w:lang w:bidi="ar"/>
              </w:rPr>
              <w:t>金额（元）</w:t>
            </w:r>
          </w:p>
        </w:tc>
        <w:tc>
          <w:tcPr>
            <w:tcW w:w="1482" w:type="dxa"/>
            <w:tcBorders>
              <w:top w:val="single" w:color="000000" w:sz="4" w:space="0"/>
              <w:left w:val="single" w:color="000000" w:sz="4" w:space="0"/>
              <w:right w:val="single" w:color="000000" w:sz="12" w:space="0"/>
            </w:tcBorders>
            <w:tcMar>
              <w:top w:w="12" w:type="dxa"/>
              <w:left w:w="12" w:type="dxa"/>
              <w:right w:w="12" w:type="dxa"/>
            </w:tcMar>
            <w:vAlign w:val="center"/>
          </w:tcPr>
          <w:p w14:paraId="6E633C89">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sz w:val="22"/>
                <w:szCs w:val="22"/>
                <w:lang w:bidi="ar"/>
              </w:rPr>
              <w:t>备注</w:t>
            </w:r>
          </w:p>
        </w:tc>
      </w:tr>
      <w:tr w14:paraId="673DA2E0">
        <w:tblPrEx>
          <w:tblCellMar>
            <w:top w:w="15" w:type="dxa"/>
            <w:left w:w="15" w:type="dxa"/>
            <w:bottom w:w="15" w:type="dxa"/>
            <w:right w:w="15" w:type="dxa"/>
          </w:tblCellMar>
        </w:tblPrEx>
        <w:trPr>
          <w:trHeight w:val="282" w:hRule="atLeast"/>
          <w:jc w:val="center"/>
        </w:trPr>
        <w:tc>
          <w:tcPr>
            <w:tcW w:w="581" w:type="dxa"/>
            <w:tcBorders>
              <w:top w:val="single" w:color="000000" w:sz="4" w:space="0"/>
              <w:left w:val="single" w:color="000000" w:sz="12" w:space="0"/>
              <w:bottom w:val="single" w:color="000000" w:sz="4" w:space="0"/>
              <w:right w:val="single" w:color="000000" w:sz="4" w:space="0"/>
            </w:tcBorders>
            <w:tcMar>
              <w:top w:w="12" w:type="dxa"/>
              <w:left w:w="12" w:type="dxa"/>
              <w:right w:w="12" w:type="dxa"/>
            </w:tcMar>
            <w:vAlign w:val="center"/>
          </w:tcPr>
          <w:p w14:paraId="5D583DE9">
            <w:pPr>
              <w:widowControl/>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lang w:bidi="ar"/>
              </w:rPr>
              <w:t>1</w:t>
            </w:r>
          </w:p>
        </w:tc>
        <w:tc>
          <w:tcPr>
            <w:tcW w:w="13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CCF515">
            <w:pPr>
              <w:jc w:val="center"/>
              <w:rPr>
                <w:rFonts w:ascii="仿宋" w:hAnsi="仿宋" w:eastAsia="仿宋" w:cs="仿宋"/>
                <w:color w:val="000000"/>
                <w:sz w:val="21"/>
                <w:szCs w:val="21"/>
              </w:rPr>
            </w:pPr>
          </w:p>
        </w:tc>
        <w:tc>
          <w:tcPr>
            <w:tcW w:w="16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C3B13F">
            <w:pPr>
              <w:widowControl/>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lang w:bidi="ar"/>
              </w:rPr>
              <w:t>运输费</w:t>
            </w:r>
          </w:p>
        </w:tc>
        <w:tc>
          <w:tcPr>
            <w:tcW w:w="1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385A2B">
            <w:pPr>
              <w:jc w:val="center"/>
              <w:rPr>
                <w:rFonts w:ascii="仿宋" w:hAnsi="仿宋" w:eastAsia="仿宋" w:cs="仿宋"/>
                <w:color w:val="000000"/>
                <w:sz w:val="21"/>
                <w:szCs w:val="21"/>
              </w:rPr>
            </w:pPr>
          </w:p>
        </w:tc>
        <w:tc>
          <w:tcPr>
            <w:tcW w:w="11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859357">
            <w:pPr>
              <w:jc w:val="center"/>
              <w:rPr>
                <w:rFonts w:ascii="仿宋" w:hAnsi="仿宋" w:eastAsia="仿宋" w:cs="仿宋"/>
                <w:color w:val="000000"/>
                <w:sz w:val="21"/>
                <w:szCs w:val="21"/>
              </w:rPr>
            </w:pPr>
          </w:p>
        </w:tc>
        <w:tc>
          <w:tcPr>
            <w:tcW w:w="15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183831F">
            <w:pPr>
              <w:jc w:val="center"/>
              <w:rPr>
                <w:rFonts w:ascii="仿宋" w:hAnsi="仿宋" w:eastAsia="仿宋" w:cs="仿宋"/>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B697E4">
            <w:pPr>
              <w:jc w:val="center"/>
              <w:rPr>
                <w:rFonts w:ascii="仿宋" w:hAnsi="仿宋" w:eastAsia="仿宋" w:cs="仿宋"/>
                <w:color w:val="000000"/>
                <w:sz w:val="21"/>
                <w:szCs w:val="21"/>
              </w:rPr>
            </w:pPr>
          </w:p>
        </w:tc>
        <w:tc>
          <w:tcPr>
            <w:tcW w:w="1482" w:type="dxa"/>
            <w:tcBorders>
              <w:top w:val="single" w:color="000000" w:sz="4" w:space="0"/>
              <w:left w:val="single" w:color="000000" w:sz="4" w:space="0"/>
              <w:bottom w:val="single" w:color="000000" w:sz="4" w:space="0"/>
              <w:right w:val="single" w:color="000000" w:sz="12" w:space="0"/>
            </w:tcBorders>
            <w:tcMar>
              <w:top w:w="12" w:type="dxa"/>
              <w:left w:w="12" w:type="dxa"/>
              <w:right w:w="12" w:type="dxa"/>
            </w:tcMar>
            <w:vAlign w:val="center"/>
          </w:tcPr>
          <w:p w14:paraId="097624F6">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r>
      <w:tr w14:paraId="7E80B22B">
        <w:tblPrEx>
          <w:tblCellMar>
            <w:top w:w="15" w:type="dxa"/>
            <w:left w:w="15" w:type="dxa"/>
            <w:bottom w:w="15" w:type="dxa"/>
            <w:right w:w="15" w:type="dxa"/>
          </w:tblCellMar>
        </w:tblPrEx>
        <w:trPr>
          <w:trHeight w:val="244" w:hRule="atLeast"/>
          <w:jc w:val="center"/>
        </w:trPr>
        <w:tc>
          <w:tcPr>
            <w:tcW w:w="581" w:type="dxa"/>
            <w:tcBorders>
              <w:top w:val="single" w:color="000000" w:sz="4" w:space="0"/>
              <w:left w:val="single" w:color="000000" w:sz="12" w:space="0"/>
              <w:bottom w:val="single" w:color="000000" w:sz="4" w:space="0"/>
              <w:right w:val="single" w:color="000000" w:sz="4" w:space="0"/>
            </w:tcBorders>
            <w:tcMar>
              <w:top w:w="12" w:type="dxa"/>
              <w:left w:w="12" w:type="dxa"/>
              <w:right w:w="12" w:type="dxa"/>
            </w:tcMar>
            <w:vAlign w:val="center"/>
          </w:tcPr>
          <w:p w14:paraId="65783726">
            <w:pPr>
              <w:widowControl/>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lang w:bidi="ar"/>
              </w:rPr>
              <w:t>2</w:t>
            </w:r>
          </w:p>
        </w:tc>
        <w:tc>
          <w:tcPr>
            <w:tcW w:w="13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60FA9F">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c>
          <w:tcPr>
            <w:tcW w:w="16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E1966F">
            <w:pPr>
              <w:widowControl/>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lang w:bidi="ar"/>
              </w:rPr>
              <w:t>装车费</w:t>
            </w:r>
          </w:p>
        </w:tc>
        <w:tc>
          <w:tcPr>
            <w:tcW w:w="1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DE2B9E">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c>
          <w:tcPr>
            <w:tcW w:w="11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26080B0">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c>
          <w:tcPr>
            <w:tcW w:w="15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67491E4">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c>
          <w:tcPr>
            <w:tcW w:w="14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1A8ECA">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c>
          <w:tcPr>
            <w:tcW w:w="1482" w:type="dxa"/>
            <w:tcBorders>
              <w:top w:val="single" w:color="000000" w:sz="4" w:space="0"/>
              <w:left w:val="single" w:color="000000" w:sz="4" w:space="0"/>
              <w:bottom w:val="single" w:color="000000" w:sz="4" w:space="0"/>
              <w:right w:val="single" w:color="000000" w:sz="12" w:space="0"/>
            </w:tcBorders>
            <w:tcMar>
              <w:top w:w="12" w:type="dxa"/>
              <w:left w:w="12" w:type="dxa"/>
              <w:right w:w="12" w:type="dxa"/>
            </w:tcMar>
            <w:vAlign w:val="center"/>
          </w:tcPr>
          <w:p w14:paraId="17631F7F">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r>
      <w:tr w14:paraId="67F12408">
        <w:tblPrEx>
          <w:tblCellMar>
            <w:top w:w="15" w:type="dxa"/>
            <w:left w:w="15" w:type="dxa"/>
            <w:bottom w:w="15" w:type="dxa"/>
            <w:right w:w="15" w:type="dxa"/>
          </w:tblCellMar>
        </w:tblPrEx>
        <w:trPr>
          <w:trHeight w:val="263" w:hRule="atLeast"/>
          <w:jc w:val="center"/>
        </w:trPr>
        <w:tc>
          <w:tcPr>
            <w:tcW w:w="581" w:type="dxa"/>
            <w:tcBorders>
              <w:top w:val="single" w:color="000000" w:sz="4" w:space="0"/>
              <w:left w:val="single" w:color="000000" w:sz="12" w:space="0"/>
              <w:bottom w:val="single" w:color="000000" w:sz="4" w:space="0"/>
              <w:right w:val="single" w:color="000000" w:sz="4" w:space="0"/>
            </w:tcBorders>
            <w:tcMar>
              <w:top w:w="12" w:type="dxa"/>
              <w:left w:w="12" w:type="dxa"/>
              <w:right w:w="12" w:type="dxa"/>
            </w:tcMar>
            <w:vAlign w:val="center"/>
          </w:tcPr>
          <w:p w14:paraId="7F9A1E80">
            <w:pPr>
              <w:widowControl/>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lang w:bidi="ar"/>
              </w:rPr>
              <w:t>3</w:t>
            </w:r>
          </w:p>
        </w:tc>
        <w:tc>
          <w:tcPr>
            <w:tcW w:w="13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60B15AB">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c>
          <w:tcPr>
            <w:tcW w:w="16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B14C07">
            <w:pPr>
              <w:widowControl/>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lang w:bidi="ar"/>
              </w:rPr>
              <w:t>顿时费</w:t>
            </w:r>
          </w:p>
        </w:tc>
        <w:tc>
          <w:tcPr>
            <w:tcW w:w="1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3BF446">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c>
          <w:tcPr>
            <w:tcW w:w="11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3629FE">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c>
          <w:tcPr>
            <w:tcW w:w="15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1CD9C2E">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c>
          <w:tcPr>
            <w:tcW w:w="14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649BDE">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c>
          <w:tcPr>
            <w:tcW w:w="1482" w:type="dxa"/>
            <w:tcBorders>
              <w:top w:val="single" w:color="000000" w:sz="4" w:space="0"/>
              <w:left w:val="single" w:color="000000" w:sz="4" w:space="0"/>
              <w:bottom w:val="single" w:color="000000" w:sz="4" w:space="0"/>
              <w:right w:val="single" w:color="000000" w:sz="12" w:space="0"/>
            </w:tcBorders>
            <w:tcMar>
              <w:top w:w="12" w:type="dxa"/>
              <w:left w:w="12" w:type="dxa"/>
              <w:right w:w="12" w:type="dxa"/>
            </w:tcMar>
            <w:vAlign w:val="center"/>
          </w:tcPr>
          <w:p w14:paraId="767BD9B8">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r>
      <w:tr w14:paraId="009C4621">
        <w:tblPrEx>
          <w:tblCellMar>
            <w:top w:w="15" w:type="dxa"/>
            <w:left w:w="15" w:type="dxa"/>
            <w:bottom w:w="15" w:type="dxa"/>
            <w:right w:w="15" w:type="dxa"/>
          </w:tblCellMar>
        </w:tblPrEx>
        <w:trPr>
          <w:trHeight w:val="282" w:hRule="atLeast"/>
          <w:jc w:val="center"/>
        </w:trPr>
        <w:tc>
          <w:tcPr>
            <w:tcW w:w="581" w:type="dxa"/>
            <w:tcBorders>
              <w:top w:val="single" w:color="000000" w:sz="4" w:space="0"/>
              <w:left w:val="single" w:color="000000" w:sz="12" w:space="0"/>
              <w:bottom w:val="single" w:color="000000" w:sz="4" w:space="0"/>
              <w:right w:val="single" w:color="000000" w:sz="4" w:space="0"/>
            </w:tcBorders>
            <w:tcMar>
              <w:top w:w="12" w:type="dxa"/>
              <w:left w:w="12" w:type="dxa"/>
              <w:right w:w="12" w:type="dxa"/>
            </w:tcMar>
            <w:vAlign w:val="center"/>
          </w:tcPr>
          <w:p w14:paraId="35E92E8F">
            <w:pPr>
              <w:widowControl/>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lang w:bidi="ar"/>
              </w:rPr>
              <w:t>4</w:t>
            </w:r>
          </w:p>
        </w:tc>
        <w:tc>
          <w:tcPr>
            <w:tcW w:w="13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CB3C2C">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c>
          <w:tcPr>
            <w:tcW w:w="16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FFB61B1">
            <w:pPr>
              <w:widowControl/>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lang w:bidi="ar"/>
              </w:rPr>
              <w:t>劳务费</w:t>
            </w:r>
          </w:p>
        </w:tc>
        <w:tc>
          <w:tcPr>
            <w:tcW w:w="1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FD7816">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c>
          <w:tcPr>
            <w:tcW w:w="11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058323F">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c>
          <w:tcPr>
            <w:tcW w:w="15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5C51CA">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c>
          <w:tcPr>
            <w:tcW w:w="14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4A0A1D">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c>
          <w:tcPr>
            <w:tcW w:w="1482" w:type="dxa"/>
            <w:tcBorders>
              <w:top w:val="single" w:color="000000" w:sz="4" w:space="0"/>
              <w:left w:val="single" w:color="000000" w:sz="4" w:space="0"/>
              <w:bottom w:val="single" w:color="000000" w:sz="4" w:space="0"/>
              <w:right w:val="single" w:color="000000" w:sz="12" w:space="0"/>
            </w:tcBorders>
            <w:tcMar>
              <w:top w:w="12" w:type="dxa"/>
              <w:left w:w="12" w:type="dxa"/>
              <w:right w:w="12" w:type="dxa"/>
            </w:tcMar>
            <w:vAlign w:val="center"/>
          </w:tcPr>
          <w:p w14:paraId="6139ECE7">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r>
      <w:tr w14:paraId="34D731A1">
        <w:tblPrEx>
          <w:tblCellMar>
            <w:top w:w="15" w:type="dxa"/>
            <w:left w:w="15" w:type="dxa"/>
            <w:bottom w:w="15" w:type="dxa"/>
            <w:right w:w="15" w:type="dxa"/>
          </w:tblCellMar>
        </w:tblPrEx>
        <w:trPr>
          <w:trHeight w:val="282" w:hRule="atLeast"/>
          <w:jc w:val="center"/>
        </w:trPr>
        <w:tc>
          <w:tcPr>
            <w:tcW w:w="581" w:type="dxa"/>
            <w:tcBorders>
              <w:top w:val="single" w:color="000000" w:sz="4" w:space="0"/>
              <w:left w:val="single" w:color="000000" w:sz="12" w:space="0"/>
              <w:bottom w:val="single" w:color="000000" w:sz="4" w:space="0"/>
              <w:right w:val="single" w:color="000000" w:sz="4" w:space="0"/>
            </w:tcBorders>
            <w:tcMar>
              <w:top w:w="12" w:type="dxa"/>
              <w:left w:w="12" w:type="dxa"/>
              <w:right w:w="12" w:type="dxa"/>
            </w:tcMar>
            <w:vAlign w:val="center"/>
          </w:tcPr>
          <w:p w14:paraId="0E2A413B">
            <w:pPr>
              <w:widowControl/>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lang w:bidi="ar"/>
              </w:rPr>
              <w:t>5</w:t>
            </w:r>
          </w:p>
        </w:tc>
        <w:tc>
          <w:tcPr>
            <w:tcW w:w="13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123657">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c>
          <w:tcPr>
            <w:tcW w:w="16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6ED74A">
            <w:pPr>
              <w:widowControl/>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lang w:bidi="ar"/>
              </w:rPr>
              <w:t>包装费</w:t>
            </w:r>
          </w:p>
        </w:tc>
        <w:tc>
          <w:tcPr>
            <w:tcW w:w="1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C0C55E">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c>
          <w:tcPr>
            <w:tcW w:w="11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B9FF10">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c>
          <w:tcPr>
            <w:tcW w:w="15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B5902ED">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c>
          <w:tcPr>
            <w:tcW w:w="14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2F3D00">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c>
          <w:tcPr>
            <w:tcW w:w="1482" w:type="dxa"/>
            <w:tcBorders>
              <w:top w:val="single" w:color="000000" w:sz="4" w:space="0"/>
              <w:left w:val="single" w:color="000000" w:sz="4" w:space="0"/>
              <w:bottom w:val="single" w:color="000000" w:sz="4" w:space="0"/>
              <w:right w:val="single" w:color="000000" w:sz="12" w:space="0"/>
            </w:tcBorders>
            <w:tcMar>
              <w:top w:w="12" w:type="dxa"/>
              <w:left w:w="12" w:type="dxa"/>
              <w:right w:w="12" w:type="dxa"/>
            </w:tcMar>
            <w:vAlign w:val="center"/>
          </w:tcPr>
          <w:p w14:paraId="29ED4040">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r>
      <w:tr w14:paraId="2A8CAF0D">
        <w:tblPrEx>
          <w:tblCellMar>
            <w:top w:w="15" w:type="dxa"/>
            <w:left w:w="15" w:type="dxa"/>
            <w:bottom w:w="15" w:type="dxa"/>
            <w:right w:w="15" w:type="dxa"/>
          </w:tblCellMar>
        </w:tblPrEx>
        <w:trPr>
          <w:trHeight w:val="346" w:hRule="atLeast"/>
          <w:jc w:val="center"/>
        </w:trPr>
        <w:tc>
          <w:tcPr>
            <w:tcW w:w="5178" w:type="dxa"/>
            <w:gridSpan w:val="4"/>
            <w:tcBorders>
              <w:top w:val="single" w:color="000000" w:sz="4" w:space="0"/>
              <w:left w:val="single" w:color="000000" w:sz="12" w:space="0"/>
              <w:bottom w:val="single" w:color="000000" w:sz="4" w:space="0"/>
              <w:right w:val="single" w:color="000000" w:sz="4" w:space="0"/>
            </w:tcBorders>
            <w:tcMar>
              <w:top w:w="12" w:type="dxa"/>
              <w:left w:w="12" w:type="dxa"/>
              <w:right w:w="12" w:type="dxa"/>
            </w:tcMar>
            <w:vAlign w:val="center"/>
          </w:tcPr>
          <w:p w14:paraId="0DA2EBF6">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sz w:val="22"/>
                <w:szCs w:val="22"/>
                <w:lang w:bidi="ar"/>
              </w:rPr>
              <w:t>小计</w:t>
            </w:r>
          </w:p>
        </w:tc>
        <w:tc>
          <w:tcPr>
            <w:tcW w:w="11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FC763E">
            <w:pPr>
              <w:jc w:val="center"/>
              <w:rPr>
                <w:rFonts w:ascii="仿宋" w:hAnsi="仿宋" w:eastAsia="仿宋" w:cs="仿宋"/>
                <w:color w:val="000000"/>
                <w:sz w:val="16"/>
                <w:szCs w:val="16"/>
              </w:rPr>
            </w:pPr>
          </w:p>
        </w:tc>
        <w:tc>
          <w:tcPr>
            <w:tcW w:w="15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82CA90C">
            <w:pPr>
              <w:jc w:val="center"/>
              <w:rPr>
                <w:rFonts w:ascii="仿宋" w:hAnsi="仿宋" w:eastAsia="仿宋" w:cs="仿宋"/>
                <w:color w:val="000000"/>
                <w:sz w:val="16"/>
                <w:szCs w:val="16"/>
              </w:rPr>
            </w:pPr>
          </w:p>
        </w:tc>
        <w:tc>
          <w:tcPr>
            <w:tcW w:w="14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29CFA4B">
            <w:pPr>
              <w:widowControl/>
              <w:jc w:val="center"/>
              <w:textAlignment w:val="center"/>
              <w:rPr>
                <w:rFonts w:ascii="仿宋" w:hAnsi="仿宋" w:eastAsia="仿宋" w:cs="仿宋"/>
                <w:color w:val="000000"/>
                <w:sz w:val="16"/>
                <w:szCs w:val="16"/>
              </w:rPr>
            </w:pPr>
            <w:r>
              <w:rPr>
                <w:rFonts w:hint="eastAsia" w:ascii="仿宋" w:hAnsi="仿宋" w:eastAsia="仿宋" w:cs="仿宋"/>
                <w:color w:val="000000"/>
                <w:sz w:val="16"/>
                <w:szCs w:val="16"/>
                <w:lang w:bidi="ar"/>
              </w:rPr>
              <w:t>0</w:t>
            </w:r>
          </w:p>
        </w:tc>
        <w:tc>
          <w:tcPr>
            <w:tcW w:w="1482" w:type="dxa"/>
            <w:tcBorders>
              <w:top w:val="single" w:color="000000" w:sz="4" w:space="0"/>
              <w:left w:val="single" w:color="000000" w:sz="4" w:space="0"/>
              <w:bottom w:val="single" w:color="000000" w:sz="4" w:space="0"/>
              <w:right w:val="single" w:color="000000" w:sz="12" w:space="0"/>
            </w:tcBorders>
            <w:tcMar>
              <w:top w:w="12" w:type="dxa"/>
              <w:left w:w="12" w:type="dxa"/>
              <w:right w:w="12" w:type="dxa"/>
            </w:tcMar>
            <w:vAlign w:val="center"/>
          </w:tcPr>
          <w:p w14:paraId="6774A933">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r>
      <w:tr w14:paraId="6F0A2C1D">
        <w:tblPrEx>
          <w:tblCellMar>
            <w:top w:w="15" w:type="dxa"/>
            <w:left w:w="15" w:type="dxa"/>
            <w:bottom w:w="15" w:type="dxa"/>
            <w:right w:w="15" w:type="dxa"/>
          </w:tblCellMar>
        </w:tblPrEx>
        <w:trPr>
          <w:trHeight w:val="536" w:hRule="atLeast"/>
          <w:jc w:val="center"/>
        </w:trPr>
        <w:tc>
          <w:tcPr>
            <w:tcW w:w="10749" w:type="dxa"/>
            <w:gridSpan w:val="8"/>
            <w:tcBorders>
              <w:left w:val="single" w:color="000000" w:sz="12" w:space="0"/>
              <w:bottom w:val="single" w:color="000000" w:sz="4" w:space="0"/>
              <w:right w:val="single" w:color="000000" w:sz="12" w:space="0"/>
            </w:tcBorders>
            <w:shd w:val="pct10" w:color="auto" w:fill="E5E5E5"/>
            <w:tcMar>
              <w:top w:w="12" w:type="dxa"/>
              <w:left w:w="12" w:type="dxa"/>
              <w:right w:w="12" w:type="dxa"/>
            </w:tcMar>
            <w:vAlign w:val="center"/>
          </w:tcPr>
          <w:p w14:paraId="527E4D21">
            <w:pPr>
              <w:widowControl/>
              <w:textAlignment w:val="center"/>
              <w:rPr>
                <w:rFonts w:ascii="仿宋" w:hAnsi="仿宋" w:eastAsia="仿宋" w:cs="仿宋"/>
                <w:b/>
                <w:color w:val="000000"/>
                <w:sz w:val="24"/>
                <w:szCs w:val="24"/>
              </w:rPr>
            </w:pPr>
            <w:r>
              <w:rPr>
                <w:rFonts w:hint="eastAsia" w:ascii="仿宋" w:hAnsi="仿宋" w:eastAsia="仿宋" w:cs="仿宋"/>
                <w:b/>
                <w:color w:val="000000"/>
                <w:sz w:val="24"/>
                <w:szCs w:val="24"/>
                <w:lang w:bidi="ar"/>
              </w:rPr>
              <w:t>三、预付款</w:t>
            </w:r>
          </w:p>
        </w:tc>
      </w:tr>
      <w:tr w14:paraId="70B2C1DB">
        <w:tblPrEx>
          <w:tblCellMar>
            <w:top w:w="15" w:type="dxa"/>
            <w:left w:w="15" w:type="dxa"/>
            <w:bottom w:w="15" w:type="dxa"/>
            <w:right w:w="15" w:type="dxa"/>
          </w:tblCellMar>
        </w:tblPrEx>
        <w:trPr>
          <w:trHeight w:val="613" w:hRule="atLeast"/>
          <w:jc w:val="center"/>
        </w:trPr>
        <w:tc>
          <w:tcPr>
            <w:tcW w:w="581" w:type="dxa"/>
            <w:tcBorders>
              <w:top w:val="single" w:color="000000" w:sz="4" w:space="0"/>
              <w:left w:val="single" w:color="000000" w:sz="12" w:space="0"/>
              <w:bottom w:val="single" w:color="000000" w:sz="4" w:space="0"/>
              <w:right w:val="single" w:color="000000" w:sz="4" w:space="0"/>
            </w:tcBorders>
            <w:tcMar>
              <w:top w:w="12" w:type="dxa"/>
              <w:left w:w="12" w:type="dxa"/>
              <w:right w:w="12" w:type="dxa"/>
            </w:tcMar>
            <w:vAlign w:val="center"/>
          </w:tcPr>
          <w:p w14:paraId="4AC6CD58">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sz w:val="22"/>
                <w:szCs w:val="22"/>
                <w:lang w:bidi="ar"/>
              </w:rPr>
              <w:t>8</w:t>
            </w:r>
          </w:p>
        </w:tc>
        <w:tc>
          <w:tcPr>
            <w:tcW w:w="13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70BC12">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c>
          <w:tcPr>
            <w:tcW w:w="16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63DBB8">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c>
          <w:tcPr>
            <w:tcW w:w="1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7D62A0">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c>
          <w:tcPr>
            <w:tcW w:w="11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F9E13B">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c>
          <w:tcPr>
            <w:tcW w:w="15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2310DF">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c>
          <w:tcPr>
            <w:tcW w:w="14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7EF2C8">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0</w:t>
            </w:r>
          </w:p>
        </w:tc>
        <w:tc>
          <w:tcPr>
            <w:tcW w:w="1482" w:type="dxa"/>
            <w:tcBorders>
              <w:top w:val="single" w:color="000000" w:sz="4" w:space="0"/>
              <w:left w:val="single" w:color="000000" w:sz="4" w:space="0"/>
              <w:bottom w:val="single" w:color="000000" w:sz="4" w:space="0"/>
              <w:right w:val="single" w:color="000000" w:sz="12" w:space="0"/>
            </w:tcBorders>
            <w:tcMar>
              <w:top w:w="12" w:type="dxa"/>
              <w:left w:w="12" w:type="dxa"/>
              <w:right w:w="12" w:type="dxa"/>
            </w:tcMar>
            <w:vAlign w:val="center"/>
          </w:tcPr>
          <w:p w14:paraId="4518E1F5">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lang w:bidi="ar"/>
              </w:rPr>
              <w:t>/</w:t>
            </w:r>
          </w:p>
        </w:tc>
      </w:tr>
      <w:tr w14:paraId="53C923E5">
        <w:tblPrEx>
          <w:tblCellMar>
            <w:top w:w="15" w:type="dxa"/>
            <w:left w:w="15" w:type="dxa"/>
            <w:bottom w:w="15" w:type="dxa"/>
            <w:right w:w="15" w:type="dxa"/>
          </w:tblCellMar>
        </w:tblPrEx>
        <w:trPr>
          <w:trHeight w:val="385" w:hRule="atLeast"/>
          <w:jc w:val="center"/>
        </w:trPr>
        <w:tc>
          <w:tcPr>
            <w:tcW w:w="7796" w:type="dxa"/>
            <w:gridSpan w:val="6"/>
            <w:tcBorders>
              <w:top w:val="single" w:color="000000" w:sz="4" w:space="0"/>
              <w:left w:val="single" w:color="000000" w:sz="12" w:space="0"/>
              <w:bottom w:val="single" w:color="000000" w:sz="12" w:space="0"/>
              <w:right w:val="single" w:color="000000" w:sz="4" w:space="0"/>
            </w:tcBorders>
            <w:shd w:val="pct10" w:color="auto" w:fill="E5E5E5"/>
            <w:tcMar>
              <w:top w:w="12" w:type="dxa"/>
              <w:left w:w="12" w:type="dxa"/>
              <w:right w:w="12" w:type="dxa"/>
            </w:tcMar>
            <w:vAlign w:val="center"/>
          </w:tcPr>
          <w:p w14:paraId="40CB00C7">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sz w:val="24"/>
                <w:szCs w:val="24"/>
                <w:lang w:bidi="ar"/>
              </w:rPr>
              <w:t>四、总计</w:t>
            </w:r>
          </w:p>
        </w:tc>
        <w:tc>
          <w:tcPr>
            <w:tcW w:w="2953" w:type="dxa"/>
            <w:gridSpan w:val="2"/>
            <w:tcBorders>
              <w:top w:val="single" w:color="000000" w:sz="4" w:space="0"/>
              <w:left w:val="single" w:color="000000" w:sz="4" w:space="0"/>
              <w:bottom w:val="single" w:color="000000" w:sz="12" w:space="0"/>
              <w:right w:val="single" w:color="000000" w:sz="12" w:space="0"/>
            </w:tcBorders>
            <w:shd w:val="pct10" w:color="auto" w:fill="E5E5E5"/>
            <w:tcMar>
              <w:top w:w="12" w:type="dxa"/>
              <w:left w:w="12" w:type="dxa"/>
              <w:right w:w="12" w:type="dxa"/>
            </w:tcMar>
            <w:vAlign w:val="center"/>
          </w:tcPr>
          <w:p w14:paraId="37A402D0">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sz w:val="24"/>
                <w:szCs w:val="24"/>
                <w:lang w:bidi="ar"/>
              </w:rPr>
              <w:t xml:space="preserve">0.00 </w:t>
            </w:r>
          </w:p>
        </w:tc>
      </w:tr>
      <w:tr w14:paraId="601B4888">
        <w:tblPrEx>
          <w:tblCellMar>
            <w:top w:w="15" w:type="dxa"/>
            <w:left w:w="15" w:type="dxa"/>
            <w:bottom w:w="15" w:type="dxa"/>
            <w:right w:w="15" w:type="dxa"/>
          </w:tblCellMar>
        </w:tblPrEx>
        <w:trPr>
          <w:trHeight w:val="366" w:hRule="atLeast"/>
          <w:jc w:val="center"/>
        </w:trPr>
        <w:tc>
          <w:tcPr>
            <w:tcW w:w="3547" w:type="dxa"/>
            <w:gridSpan w:val="3"/>
            <w:tcBorders>
              <w:left w:val="single" w:color="000000" w:sz="12" w:space="0"/>
              <w:bottom w:val="single" w:color="000000" w:sz="12" w:space="0"/>
            </w:tcBorders>
            <w:tcMar>
              <w:top w:w="12" w:type="dxa"/>
              <w:left w:w="12" w:type="dxa"/>
              <w:right w:w="12" w:type="dxa"/>
            </w:tcMar>
            <w:vAlign w:val="center"/>
          </w:tcPr>
          <w:p w14:paraId="2AD29F47">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sz w:val="22"/>
                <w:szCs w:val="22"/>
                <w:lang w:bidi="ar"/>
              </w:rPr>
              <w:t xml:space="preserve"> 费用合计大写：（人民币）</w:t>
            </w:r>
          </w:p>
        </w:tc>
        <w:tc>
          <w:tcPr>
            <w:tcW w:w="7202" w:type="dxa"/>
            <w:gridSpan w:val="5"/>
            <w:tcBorders>
              <w:bottom w:val="single" w:color="000000" w:sz="12" w:space="0"/>
              <w:right w:val="single" w:color="000000" w:sz="12" w:space="0"/>
            </w:tcBorders>
            <w:tcMar>
              <w:top w:w="12" w:type="dxa"/>
              <w:left w:w="12" w:type="dxa"/>
              <w:right w:w="12" w:type="dxa"/>
            </w:tcMar>
            <w:vAlign w:val="center"/>
          </w:tcPr>
          <w:p w14:paraId="01B0CD05">
            <w:pPr>
              <w:widowControl/>
              <w:jc w:val="left"/>
              <w:textAlignment w:val="center"/>
              <w:rPr>
                <w:rFonts w:ascii="仿宋" w:hAnsi="仿宋" w:eastAsia="仿宋" w:cs="仿宋"/>
                <w:b/>
                <w:color w:val="000000"/>
                <w:sz w:val="22"/>
                <w:szCs w:val="22"/>
              </w:rPr>
            </w:pPr>
            <w:r>
              <w:rPr>
                <w:rFonts w:hint="eastAsia" w:ascii="仿宋" w:hAnsi="仿宋" w:eastAsia="仿宋" w:cs="仿宋"/>
                <w:b/>
                <w:color w:val="000000"/>
                <w:sz w:val="22"/>
                <w:szCs w:val="22"/>
                <w:lang w:bidi="ar"/>
              </w:rPr>
              <w:t>零元整</w:t>
            </w:r>
          </w:p>
        </w:tc>
      </w:tr>
      <w:tr w14:paraId="04EC6C84">
        <w:tblPrEx>
          <w:tblCellMar>
            <w:top w:w="15" w:type="dxa"/>
            <w:left w:w="15" w:type="dxa"/>
            <w:bottom w:w="15" w:type="dxa"/>
            <w:right w:w="15" w:type="dxa"/>
          </w:tblCellMar>
        </w:tblPrEx>
        <w:trPr>
          <w:trHeight w:val="289" w:hRule="atLeast"/>
          <w:jc w:val="center"/>
        </w:trPr>
        <w:tc>
          <w:tcPr>
            <w:tcW w:w="581" w:type="dxa"/>
            <w:tcMar>
              <w:top w:w="12" w:type="dxa"/>
              <w:left w:w="12" w:type="dxa"/>
              <w:right w:w="12" w:type="dxa"/>
            </w:tcMar>
            <w:vAlign w:val="bottom"/>
          </w:tcPr>
          <w:p w14:paraId="624B0F46">
            <w:pPr>
              <w:rPr>
                <w:rFonts w:ascii="宋体" w:hAnsi="宋体" w:cs="宋体"/>
                <w:color w:val="000000"/>
                <w:sz w:val="22"/>
                <w:szCs w:val="22"/>
              </w:rPr>
            </w:pPr>
          </w:p>
        </w:tc>
        <w:tc>
          <w:tcPr>
            <w:tcW w:w="1333" w:type="dxa"/>
            <w:tcMar>
              <w:top w:w="12" w:type="dxa"/>
              <w:left w:w="12" w:type="dxa"/>
              <w:right w:w="12" w:type="dxa"/>
            </w:tcMar>
            <w:vAlign w:val="bottom"/>
          </w:tcPr>
          <w:p w14:paraId="239D78A5">
            <w:pPr>
              <w:rPr>
                <w:rFonts w:ascii="宋体" w:hAnsi="宋体" w:cs="宋体"/>
                <w:color w:val="000000"/>
                <w:sz w:val="22"/>
                <w:szCs w:val="22"/>
              </w:rPr>
            </w:pPr>
          </w:p>
        </w:tc>
        <w:tc>
          <w:tcPr>
            <w:tcW w:w="1633" w:type="dxa"/>
            <w:tcMar>
              <w:top w:w="12" w:type="dxa"/>
              <w:left w:w="12" w:type="dxa"/>
              <w:right w:w="12" w:type="dxa"/>
            </w:tcMar>
            <w:vAlign w:val="bottom"/>
          </w:tcPr>
          <w:p w14:paraId="3DFC8F02">
            <w:pPr>
              <w:rPr>
                <w:rFonts w:ascii="宋体" w:hAnsi="宋体" w:cs="宋体"/>
                <w:color w:val="000000"/>
                <w:sz w:val="22"/>
                <w:szCs w:val="22"/>
              </w:rPr>
            </w:pPr>
          </w:p>
        </w:tc>
        <w:tc>
          <w:tcPr>
            <w:tcW w:w="1631" w:type="dxa"/>
            <w:tcMar>
              <w:top w:w="12" w:type="dxa"/>
              <w:left w:w="12" w:type="dxa"/>
              <w:right w:w="12" w:type="dxa"/>
            </w:tcMar>
            <w:vAlign w:val="bottom"/>
          </w:tcPr>
          <w:p w14:paraId="6692AFA7">
            <w:pPr>
              <w:rPr>
                <w:rFonts w:ascii="宋体" w:hAnsi="宋体" w:cs="宋体"/>
                <w:color w:val="000000"/>
                <w:sz w:val="22"/>
                <w:szCs w:val="22"/>
              </w:rPr>
            </w:pPr>
          </w:p>
        </w:tc>
        <w:tc>
          <w:tcPr>
            <w:tcW w:w="1117" w:type="dxa"/>
            <w:tcMar>
              <w:top w:w="12" w:type="dxa"/>
              <w:left w:w="12" w:type="dxa"/>
              <w:right w:w="12" w:type="dxa"/>
            </w:tcMar>
            <w:vAlign w:val="bottom"/>
          </w:tcPr>
          <w:p w14:paraId="26B2591C">
            <w:pPr>
              <w:rPr>
                <w:rFonts w:ascii="宋体" w:hAnsi="宋体" w:cs="宋体"/>
                <w:color w:val="000000"/>
                <w:sz w:val="22"/>
                <w:szCs w:val="22"/>
              </w:rPr>
            </w:pPr>
          </w:p>
        </w:tc>
        <w:tc>
          <w:tcPr>
            <w:tcW w:w="1501" w:type="dxa"/>
            <w:tcMar>
              <w:top w:w="12" w:type="dxa"/>
              <w:left w:w="12" w:type="dxa"/>
              <w:right w:w="12" w:type="dxa"/>
            </w:tcMar>
            <w:vAlign w:val="bottom"/>
          </w:tcPr>
          <w:p w14:paraId="47D3F262">
            <w:pPr>
              <w:rPr>
                <w:rFonts w:ascii="宋体" w:hAnsi="宋体" w:cs="宋体"/>
                <w:color w:val="000000"/>
                <w:sz w:val="22"/>
                <w:szCs w:val="22"/>
              </w:rPr>
            </w:pPr>
          </w:p>
        </w:tc>
        <w:tc>
          <w:tcPr>
            <w:tcW w:w="1471" w:type="dxa"/>
            <w:tcMar>
              <w:top w:w="12" w:type="dxa"/>
              <w:left w:w="12" w:type="dxa"/>
              <w:right w:w="12" w:type="dxa"/>
            </w:tcMar>
            <w:vAlign w:val="bottom"/>
          </w:tcPr>
          <w:p w14:paraId="2E186516">
            <w:pPr>
              <w:rPr>
                <w:rFonts w:ascii="宋体" w:hAnsi="宋体" w:cs="宋体"/>
                <w:color w:val="000000"/>
                <w:sz w:val="22"/>
                <w:szCs w:val="22"/>
              </w:rPr>
            </w:pPr>
          </w:p>
        </w:tc>
        <w:tc>
          <w:tcPr>
            <w:tcW w:w="1482" w:type="dxa"/>
            <w:tcMar>
              <w:top w:w="12" w:type="dxa"/>
              <w:left w:w="12" w:type="dxa"/>
              <w:right w:w="12" w:type="dxa"/>
            </w:tcMar>
            <w:vAlign w:val="bottom"/>
          </w:tcPr>
          <w:p w14:paraId="764AC332">
            <w:pPr>
              <w:rPr>
                <w:rFonts w:ascii="宋体" w:hAnsi="宋体" w:cs="宋体"/>
                <w:color w:val="000000"/>
                <w:sz w:val="22"/>
                <w:szCs w:val="22"/>
              </w:rPr>
            </w:pPr>
          </w:p>
        </w:tc>
      </w:tr>
      <w:tr w14:paraId="4B9E9662">
        <w:tblPrEx>
          <w:tblCellMar>
            <w:top w:w="15" w:type="dxa"/>
            <w:left w:w="15" w:type="dxa"/>
            <w:bottom w:w="15" w:type="dxa"/>
            <w:right w:w="15" w:type="dxa"/>
          </w:tblCellMar>
        </w:tblPrEx>
        <w:trPr>
          <w:trHeight w:val="817" w:hRule="atLeast"/>
          <w:jc w:val="center"/>
        </w:trPr>
        <w:tc>
          <w:tcPr>
            <w:tcW w:w="1914" w:type="dxa"/>
            <w:gridSpan w:val="2"/>
            <w:tcMar>
              <w:top w:w="12" w:type="dxa"/>
              <w:left w:w="12" w:type="dxa"/>
              <w:right w:w="12" w:type="dxa"/>
            </w:tcMar>
            <w:vAlign w:val="center"/>
          </w:tcPr>
          <w:p w14:paraId="2E8A1119">
            <w:pPr>
              <w:widowControl/>
              <w:jc w:val="right"/>
              <w:textAlignment w:val="center"/>
              <w:rPr>
                <w:rFonts w:ascii="宋体" w:hAnsi="宋体" w:cs="宋体"/>
                <w:b/>
                <w:color w:val="000000"/>
                <w:sz w:val="22"/>
                <w:szCs w:val="22"/>
              </w:rPr>
            </w:pPr>
            <w:r>
              <w:rPr>
                <w:rFonts w:hint="eastAsia" w:ascii="宋体" w:hAnsi="宋体" w:cs="宋体"/>
                <w:b/>
                <w:color w:val="000000"/>
                <w:sz w:val="22"/>
                <w:szCs w:val="22"/>
                <w:lang w:bidi="ar"/>
              </w:rPr>
              <w:t>产废单位：</w:t>
            </w:r>
          </w:p>
        </w:tc>
        <w:tc>
          <w:tcPr>
            <w:tcW w:w="3264" w:type="dxa"/>
            <w:gridSpan w:val="2"/>
            <w:tcMar>
              <w:top w:w="12" w:type="dxa"/>
              <w:left w:w="12" w:type="dxa"/>
              <w:right w:w="12" w:type="dxa"/>
            </w:tcMar>
            <w:vAlign w:val="bottom"/>
          </w:tcPr>
          <w:p w14:paraId="5C6E243C">
            <w:pPr>
              <w:rPr>
                <w:rFonts w:ascii="宋体" w:hAnsi="宋体" w:cs="宋体"/>
                <w:color w:val="000000"/>
                <w:sz w:val="22"/>
                <w:szCs w:val="22"/>
              </w:rPr>
            </w:pPr>
          </w:p>
        </w:tc>
        <w:tc>
          <w:tcPr>
            <w:tcW w:w="2618" w:type="dxa"/>
            <w:gridSpan w:val="2"/>
            <w:tcMar>
              <w:top w:w="12" w:type="dxa"/>
              <w:left w:w="12" w:type="dxa"/>
              <w:right w:w="12" w:type="dxa"/>
            </w:tcMar>
            <w:vAlign w:val="center"/>
          </w:tcPr>
          <w:p w14:paraId="040F9BC6">
            <w:pPr>
              <w:widowControl/>
              <w:jc w:val="right"/>
              <w:textAlignment w:val="center"/>
              <w:rPr>
                <w:rFonts w:ascii="宋体" w:hAnsi="宋体" w:cs="宋体"/>
                <w:color w:val="000000"/>
                <w:sz w:val="22"/>
                <w:szCs w:val="22"/>
              </w:rPr>
            </w:pPr>
            <w:r>
              <w:rPr>
                <w:rFonts w:hint="eastAsia" w:ascii="宋体" w:hAnsi="宋体" w:cs="宋体"/>
                <w:color w:val="000000"/>
                <w:sz w:val="22"/>
                <w:szCs w:val="22"/>
                <w:lang w:bidi="ar"/>
              </w:rPr>
              <w:t>接受单位：</w:t>
            </w:r>
          </w:p>
        </w:tc>
        <w:tc>
          <w:tcPr>
            <w:tcW w:w="2953" w:type="dxa"/>
            <w:gridSpan w:val="2"/>
            <w:tcMar>
              <w:top w:w="12" w:type="dxa"/>
              <w:left w:w="12" w:type="dxa"/>
              <w:right w:w="12" w:type="dxa"/>
            </w:tcMar>
            <w:vAlign w:val="bottom"/>
          </w:tcPr>
          <w:p w14:paraId="1741C611">
            <w:pPr>
              <w:widowControl/>
              <w:jc w:val="center"/>
              <w:textAlignment w:val="bottom"/>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bidi="ar"/>
              </w:rPr>
              <w:t xml:space="preserve"> </w:t>
            </w:r>
          </w:p>
        </w:tc>
      </w:tr>
      <w:tr w14:paraId="4F896172">
        <w:tblPrEx>
          <w:tblCellMar>
            <w:top w:w="15" w:type="dxa"/>
            <w:left w:w="15" w:type="dxa"/>
            <w:bottom w:w="15" w:type="dxa"/>
            <w:right w:w="15" w:type="dxa"/>
          </w:tblCellMar>
        </w:tblPrEx>
        <w:trPr>
          <w:trHeight w:val="540" w:hRule="atLeast"/>
          <w:jc w:val="center"/>
        </w:trPr>
        <w:tc>
          <w:tcPr>
            <w:tcW w:w="581" w:type="dxa"/>
            <w:tcMar>
              <w:top w:w="12" w:type="dxa"/>
              <w:left w:w="12" w:type="dxa"/>
              <w:right w:w="12" w:type="dxa"/>
            </w:tcMar>
            <w:vAlign w:val="bottom"/>
          </w:tcPr>
          <w:p w14:paraId="7AAF6638">
            <w:pPr>
              <w:rPr>
                <w:rFonts w:ascii="宋体" w:hAnsi="宋体" w:cs="宋体"/>
                <w:color w:val="000000"/>
                <w:sz w:val="22"/>
                <w:szCs w:val="22"/>
              </w:rPr>
            </w:pPr>
          </w:p>
        </w:tc>
        <w:tc>
          <w:tcPr>
            <w:tcW w:w="1333" w:type="dxa"/>
            <w:tcMar>
              <w:top w:w="12" w:type="dxa"/>
              <w:left w:w="12" w:type="dxa"/>
              <w:right w:w="12" w:type="dxa"/>
            </w:tcMar>
            <w:vAlign w:val="center"/>
          </w:tcPr>
          <w:p w14:paraId="7F257DEF">
            <w:pPr>
              <w:widowControl/>
              <w:jc w:val="right"/>
              <w:textAlignment w:val="center"/>
              <w:rPr>
                <w:rFonts w:ascii="宋体" w:hAnsi="宋体" w:cs="宋体"/>
                <w:color w:val="000000"/>
                <w:sz w:val="22"/>
                <w:szCs w:val="22"/>
              </w:rPr>
            </w:pPr>
            <w:r>
              <w:rPr>
                <w:rFonts w:hint="eastAsia" w:ascii="宋体" w:hAnsi="宋体" w:cs="宋体"/>
                <w:color w:val="000000"/>
                <w:sz w:val="22"/>
                <w:szCs w:val="22"/>
                <w:lang w:bidi="ar"/>
              </w:rPr>
              <w:t>经办人：</w:t>
            </w:r>
          </w:p>
        </w:tc>
        <w:tc>
          <w:tcPr>
            <w:tcW w:w="3264" w:type="dxa"/>
            <w:gridSpan w:val="2"/>
            <w:tcMar>
              <w:top w:w="12" w:type="dxa"/>
              <w:left w:w="12" w:type="dxa"/>
              <w:right w:w="12" w:type="dxa"/>
            </w:tcMar>
            <w:vAlign w:val="bottom"/>
          </w:tcPr>
          <w:p w14:paraId="1C4386F9">
            <w:pPr>
              <w:rPr>
                <w:rFonts w:ascii="宋体" w:hAnsi="宋体" w:cs="宋体"/>
                <w:color w:val="000000"/>
                <w:sz w:val="22"/>
                <w:szCs w:val="22"/>
              </w:rPr>
            </w:pPr>
          </w:p>
        </w:tc>
        <w:tc>
          <w:tcPr>
            <w:tcW w:w="1117" w:type="dxa"/>
            <w:tcMar>
              <w:top w:w="12" w:type="dxa"/>
              <w:left w:w="12" w:type="dxa"/>
              <w:right w:w="12" w:type="dxa"/>
            </w:tcMar>
            <w:vAlign w:val="bottom"/>
          </w:tcPr>
          <w:p w14:paraId="6CBA3927">
            <w:pPr>
              <w:rPr>
                <w:rFonts w:ascii="宋体" w:hAnsi="宋体" w:cs="宋体"/>
                <w:color w:val="000000"/>
                <w:sz w:val="22"/>
                <w:szCs w:val="22"/>
              </w:rPr>
            </w:pPr>
          </w:p>
        </w:tc>
        <w:tc>
          <w:tcPr>
            <w:tcW w:w="1501" w:type="dxa"/>
            <w:tcMar>
              <w:top w:w="12" w:type="dxa"/>
              <w:left w:w="12" w:type="dxa"/>
              <w:right w:w="12" w:type="dxa"/>
            </w:tcMar>
            <w:vAlign w:val="center"/>
          </w:tcPr>
          <w:p w14:paraId="4CD934D5">
            <w:pPr>
              <w:widowControl/>
              <w:jc w:val="right"/>
              <w:textAlignment w:val="center"/>
              <w:rPr>
                <w:rFonts w:ascii="宋体" w:hAnsi="宋体" w:cs="宋体"/>
                <w:color w:val="000000"/>
                <w:sz w:val="22"/>
                <w:szCs w:val="22"/>
              </w:rPr>
            </w:pPr>
            <w:r>
              <w:rPr>
                <w:rFonts w:hint="eastAsia" w:ascii="宋体" w:hAnsi="宋体" w:cs="宋体"/>
                <w:color w:val="000000"/>
                <w:sz w:val="22"/>
                <w:szCs w:val="22"/>
                <w:lang w:bidi="ar"/>
              </w:rPr>
              <w:t>经办人：</w:t>
            </w:r>
          </w:p>
        </w:tc>
        <w:tc>
          <w:tcPr>
            <w:tcW w:w="2953" w:type="dxa"/>
            <w:gridSpan w:val="2"/>
            <w:tcMar>
              <w:top w:w="12" w:type="dxa"/>
              <w:left w:w="12" w:type="dxa"/>
              <w:right w:w="12" w:type="dxa"/>
            </w:tcMar>
            <w:vAlign w:val="bottom"/>
          </w:tcPr>
          <w:p w14:paraId="2409BBE6">
            <w:pPr>
              <w:jc w:val="center"/>
              <w:rPr>
                <w:rFonts w:ascii="宋体" w:hAnsi="宋体" w:cs="宋体"/>
                <w:color w:val="000000"/>
                <w:sz w:val="22"/>
                <w:szCs w:val="22"/>
              </w:rPr>
            </w:pPr>
          </w:p>
        </w:tc>
      </w:tr>
      <w:tr w14:paraId="3EC3E635">
        <w:tblPrEx>
          <w:tblCellMar>
            <w:top w:w="15" w:type="dxa"/>
            <w:left w:w="15" w:type="dxa"/>
            <w:bottom w:w="15" w:type="dxa"/>
            <w:right w:w="15" w:type="dxa"/>
          </w:tblCellMar>
        </w:tblPrEx>
        <w:trPr>
          <w:trHeight w:val="228" w:hRule="atLeast"/>
          <w:jc w:val="center"/>
        </w:trPr>
        <w:tc>
          <w:tcPr>
            <w:tcW w:w="1914" w:type="dxa"/>
            <w:gridSpan w:val="2"/>
            <w:tcMar>
              <w:top w:w="12" w:type="dxa"/>
              <w:left w:w="12" w:type="dxa"/>
              <w:right w:w="12" w:type="dxa"/>
            </w:tcMar>
            <w:vAlign w:val="bottom"/>
          </w:tcPr>
          <w:p w14:paraId="7AD92103">
            <w:pPr>
              <w:widowControl/>
              <w:jc w:val="right"/>
              <w:textAlignment w:val="bottom"/>
              <w:rPr>
                <w:rFonts w:ascii="宋体" w:hAnsi="宋体" w:cs="宋体"/>
                <w:color w:val="000000"/>
                <w:sz w:val="22"/>
                <w:szCs w:val="22"/>
              </w:rPr>
            </w:pPr>
            <w:r>
              <w:rPr>
                <w:rFonts w:hint="eastAsia" w:ascii="宋体" w:hAnsi="宋体" w:cs="宋体"/>
                <w:color w:val="000000"/>
                <w:sz w:val="22"/>
                <w:szCs w:val="22"/>
                <w:lang w:bidi="ar"/>
              </w:rPr>
              <w:t>日期：</w:t>
            </w:r>
          </w:p>
        </w:tc>
        <w:tc>
          <w:tcPr>
            <w:tcW w:w="3264" w:type="dxa"/>
            <w:gridSpan w:val="2"/>
            <w:tcMar>
              <w:top w:w="12" w:type="dxa"/>
              <w:left w:w="12" w:type="dxa"/>
              <w:right w:w="12" w:type="dxa"/>
            </w:tcMar>
            <w:vAlign w:val="bottom"/>
          </w:tcPr>
          <w:p w14:paraId="389179D5">
            <w:pPr>
              <w:widowControl/>
              <w:jc w:val="center"/>
              <w:textAlignment w:val="bottom"/>
              <w:rPr>
                <w:rFonts w:ascii="宋体" w:hAnsi="宋体" w:cs="宋体"/>
                <w:color w:val="000000"/>
                <w:sz w:val="22"/>
                <w:szCs w:val="22"/>
              </w:rPr>
            </w:pPr>
            <w:r>
              <w:rPr>
                <w:rFonts w:hint="eastAsia" w:ascii="宋体" w:hAnsi="宋体" w:cs="宋体"/>
                <w:color w:val="000000"/>
                <w:sz w:val="22"/>
                <w:szCs w:val="22"/>
                <w:lang w:bidi="ar"/>
              </w:rPr>
              <w:t>年    月   日</w:t>
            </w:r>
          </w:p>
        </w:tc>
        <w:tc>
          <w:tcPr>
            <w:tcW w:w="1117" w:type="dxa"/>
            <w:tcMar>
              <w:top w:w="12" w:type="dxa"/>
              <w:left w:w="12" w:type="dxa"/>
              <w:right w:w="12" w:type="dxa"/>
            </w:tcMar>
            <w:vAlign w:val="bottom"/>
          </w:tcPr>
          <w:p w14:paraId="31C2504E">
            <w:pPr>
              <w:rPr>
                <w:rFonts w:ascii="宋体" w:hAnsi="宋体" w:cs="宋体"/>
                <w:color w:val="000000"/>
                <w:sz w:val="22"/>
                <w:szCs w:val="22"/>
              </w:rPr>
            </w:pPr>
          </w:p>
        </w:tc>
        <w:tc>
          <w:tcPr>
            <w:tcW w:w="1501" w:type="dxa"/>
            <w:tcMar>
              <w:top w:w="12" w:type="dxa"/>
              <w:left w:w="12" w:type="dxa"/>
              <w:right w:w="12" w:type="dxa"/>
            </w:tcMar>
            <w:vAlign w:val="bottom"/>
          </w:tcPr>
          <w:p w14:paraId="3BC0011F">
            <w:pPr>
              <w:widowControl/>
              <w:jc w:val="right"/>
              <w:textAlignment w:val="bottom"/>
              <w:rPr>
                <w:rFonts w:ascii="宋体" w:hAnsi="宋体" w:cs="宋体"/>
                <w:color w:val="000000"/>
                <w:sz w:val="22"/>
                <w:szCs w:val="22"/>
              </w:rPr>
            </w:pPr>
            <w:r>
              <w:rPr>
                <w:rFonts w:hint="eastAsia" w:ascii="宋体" w:hAnsi="宋体" w:cs="宋体"/>
                <w:color w:val="000000"/>
                <w:sz w:val="22"/>
                <w:szCs w:val="22"/>
                <w:lang w:bidi="ar"/>
              </w:rPr>
              <w:t>日期：</w:t>
            </w:r>
          </w:p>
        </w:tc>
        <w:tc>
          <w:tcPr>
            <w:tcW w:w="2953" w:type="dxa"/>
            <w:gridSpan w:val="2"/>
            <w:tcMar>
              <w:top w:w="12" w:type="dxa"/>
              <w:left w:w="12" w:type="dxa"/>
              <w:right w:w="12" w:type="dxa"/>
            </w:tcMar>
            <w:vAlign w:val="bottom"/>
          </w:tcPr>
          <w:p w14:paraId="16BF43F9">
            <w:pPr>
              <w:widowControl/>
              <w:jc w:val="center"/>
              <w:textAlignment w:val="bottom"/>
              <w:rPr>
                <w:rFonts w:ascii="宋体" w:hAnsi="宋体" w:cs="宋体"/>
                <w:color w:val="000000"/>
                <w:sz w:val="22"/>
                <w:szCs w:val="22"/>
              </w:rPr>
            </w:pPr>
            <w:r>
              <w:rPr>
                <w:rFonts w:hint="eastAsia" w:ascii="宋体" w:hAnsi="宋体" w:cs="宋体"/>
                <w:color w:val="000000"/>
                <w:sz w:val="22"/>
                <w:szCs w:val="22"/>
                <w:lang w:bidi="ar"/>
              </w:rPr>
              <w:t>年    月   日</w:t>
            </w:r>
          </w:p>
        </w:tc>
      </w:tr>
    </w:tbl>
    <w:p w14:paraId="3302ED2A">
      <w:pPr>
        <w:spacing w:line="500" w:lineRule="exact"/>
        <w:rPr>
          <w:rFonts w:ascii="仿宋" w:hAnsi="仿宋" w:eastAsia="仿宋"/>
          <w:bCs/>
          <w:sz w:val="24"/>
          <w:szCs w:val="24"/>
        </w:rPr>
      </w:pPr>
    </w:p>
    <w:p w14:paraId="612713EE">
      <w:pPr>
        <w:pStyle w:val="11"/>
        <w:ind w:left="0" w:leftChars="0" w:firstLine="0" w:firstLineChars="0"/>
        <w:jc w:val="both"/>
        <w:rPr>
          <w:rFonts w:hint="eastAsia" w:ascii="方正黑体简体" w:hAnsi="方正黑体简体" w:eastAsia="方正黑体简体" w:cs="方正黑体简体"/>
          <w:sz w:val="32"/>
          <w:szCs w:val="28"/>
          <w:lang w:val="en-US" w:eastAsia="zh-CN"/>
        </w:rPr>
      </w:pPr>
    </w:p>
    <w:p w14:paraId="36024F42">
      <w:pPr>
        <w:pStyle w:val="11"/>
        <w:ind w:left="0" w:leftChars="0" w:firstLine="0" w:firstLineChars="0"/>
        <w:jc w:val="both"/>
        <w:rPr>
          <w:rFonts w:hint="eastAsia" w:ascii="方正黑体简体" w:hAnsi="方正黑体简体" w:eastAsia="方正黑体简体" w:cs="方正黑体简体"/>
          <w:sz w:val="32"/>
          <w:szCs w:val="28"/>
          <w:lang w:val="en-US" w:eastAsia="zh-CN"/>
        </w:rPr>
      </w:pPr>
      <w:r>
        <w:rPr>
          <w:rFonts w:hint="eastAsia" w:ascii="方正黑体简体" w:hAnsi="方正黑体简体" w:eastAsia="方正黑体简体" w:cs="方正黑体简体"/>
          <w:sz w:val="32"/>
          <w:szCs w:val="28"/>
          <w:lang w:val="en-US" w:eastAsia="zh-CN"/>
        </w:rPr>
        <w:t>附件</w:t>
      </w:r>
    </w:p>
    <w:tbl>
      <w:tblPr>
        <w:tblStyle w:val="14"/>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738"/>
        <w:gridCol w:w="1510"/>
        <w:gridCol w:w="2426"/>
        <w:gridCol w:w="1161"/>
        <w:gridCol w:w="821"/>
      </w:tblGrid>
      <w:tr w14:paraId="4A0C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14:paraId="0EEE4C27">
            <w:pPr>
              <w:widowControl/>
              <w:jc w:val="center"/>
              <w:rPr>
                <w:rFonts w:ascii="宋体" w:hAnsi="宋体"/>
                <w:color w:val="auto"/>
                <w:sz w:val="22"/>
              </w:rPr>
            </w:pPr>
            <w:r>
              <w:rPr>
                <w:rFonts w:hint="eastAsia" w:ascii="宋体" w:hAnsi="宋体"/>
                <w:color w:val="auto"/>
                <w:sz w:val="22"/>
              </w:rPr>
              <w:t>供应商名称</w:t>
            </w:r>
          </w:p>
        </w:tc>
        <w:tc>
          <w:tcPr>
            <w:tcW w:w="6656" w:type="dxa"/>
            <w:gridSpan w:val="5"/>
            <w:tcBorders>
              <w:top w:val="single" w:color="auto" w:sz="4" w:space="0"/>
              <w:left w:val="single" w:color="auto" w:sz="4" w:space="0"/>
              <w:bottom w:val="single" w:color="auto" w:sz="4" w:space="0"/>
              <w:right w:val="single" w:color="auto" w:sz="4" w:space="0"/>
            </w:tcBorders>
            <w:vAlign w:val="center"/>
          </w:tcPr>
          <w:p w14:paraId="7A60F9AA">
            <w:pPr>
              <w:widowControl/>
              <w:jc w:val="center"/>
              <w:rPr>
                <w:rFonts w:hint="default" w:ascii="宋体" w:hAnsi="宋体" w:eastAsiaTheme="minorEastAsia"/>
                <w:color w:val="auto"/>
                <w:sz w:val="22"/>
                <w:lang w:val="en-US" w:eastAsia="zh-CN"/>
              </w:rPr>
            </w:pPr>
          </w:p>
        </w:tc>
      </w:tr>
      <w:tr w14:paraId="2D18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14:paraId="7267575B">
            <w:pPr>
              <w:widowControl/>
              <w:jc w:val="center"/>
              <w:rPr>
                <w:rFonts w:hint="eastAsia" w:ascii="宋体" w:hAnsi="宋体" w:eastAsia="宋体"/>
                <w:color w:val="auto"/>
                <w:sz w:val="22"/>
                <w:lang w:eastAsia="zh-CN"/>
              </w:rPr>
            </w:pPr>
            <w:r>
              <w:rPr>
                <w:rFonts w:hint="eastAsia" w:ascii="宋体" w:hAnsi="宋体"/>
                <w:color w:val="auto"/>
                <w:sz w:val="22"/>
                <w:lang w:val="en-US" w:eastAsia="zh-CN"/>
              </w:rPr>
              <w:t>序号</w:t>
            </w:r>
          </w:p>
        </w:tc>
        <w:tc>
          <w:tcPr>
            <w:tcW w:w="738" w:type="dxa"/>
            <w:tcBorders>
              <w:top w:val="single" w:color="auto" w:sz="4" w:space="0"/>
              <w:left w:val="single" w:color="auto" w:sz="4" w:space="0"/>
              <w:bottom w:val="single" w:color="auto" w:sz="4" w:space="0"/>
              <w:right w:val="single" w:color="auto" w:sz="4" w:space="0"/>
            </w:tcBorders>
            <w:vAlign w:val="center"/>
          </w:tcPr>
          <w:p w14:paraId="564DAA71">
            <w:pPr>
              <w:widowControl/>
              <w:jc w:val="center"/>
              <w:rPr>
                <w:rFonts w:ascii="宋体" w:hAnsi="宋体"/>
                <w:color w:val="auto"/>
                <w:sz w:val="22"/>
              </w:rPr>
            </w:pPr>
            <w:r>
              <w:rPr>
                <w:rFonts w:hint="eastAsia" w:ascii="宋体" w:hAnsi="宋体"/>
                <w:color w:val="auto"/>
                <w:sz w:val="22"/>
              </w:rPr>
              <w:t>分值</w:t>
            </w:r>
          </w:p>
        </w:tc>
        <w:tc>
          <w:tcPr>
            <w:tcW w:w="1510" w:type="dxa"/>
            <w:tcBorders>
              <w:top w:val="single" w:color="auto" w:sz="4" w:space="0"/>
              <w:left w:val="single" w:color="auto" w:sz="4" w:space="0"/>
              <w:bottom w:val="single" w:color="auto" w:sz="4" w:space="0"/>
              <w:right w:val="single" w:color="auto" w:sz="4" w:space="0"/>
            </w:tcBorders>
            <w:vAlign w:val="center"/>
          </w:tcPr>
          <w:p w14:paraId="200BAFF9">
            <w:pPr>
              <w:widowControl/>
              <w:jc w:val="center"/>
              <w:rPr>
                <w:rFonts w:ascii="宋体" w:hAnsi="宋体"/>
                <w:color w:val="auto"/>
                <w:sz w:val="22"/>
              </w:rPr>
            </w:pPr>
            <w:r>
              <w:rPr>
                <w:rFonts w:hint="eastAsia" w:ascii="宋体" w:hAnsi="宋体"/>
                <w:color w:val="auto"/>
                <w:sz w:val="22"/>
              </w:rPr>
              <w:t>考核指标</w:t>
            </w:r>
          </w:p>
        </w:tc>
        <w:tc>
          <w:tcPr>
            <w:tcW w:w="2426" w:type="dxa"/>
            <w:tcBorders>
              <w:top w:val="single" w:color="auto" w:sz="4" w:space="0"/>
              <w:left w:val="single" w:color="auto" w:sz="4" w:space="0"/>
              <w:bottom w:val="single" w:color="auto" w:sz="4" w:space="0"/>
              <w:right w:val="single" w:color="auto" w:sz="4" w:space="0"/>
            </w:tcBorders>
            <w:vAlign w:val="center"/>
          </w:tcPr>
          <w:p w14:paraId="56CD624A">
            <w:pPr>
              <w:widowControl/>
              <w:jc w:val="center"/>
              <w:rPr>
                <w:rFonts w:ascii="宋体" w:hAnsi="宋体"/>
                <w:color w:val="auto"/>
                <w:sz w:val="22"/>
              </w:rPr>
            </w:pPr>
            <w:r>
              <w:rPr>
                <w:rFonts w:hint="eastAsia" w:ascii="宋体" w:hAnsi="宋体"/>
                <w:color w:val="auto"/>
                <w:sz w:val="22"/>
              </w:rPr>
              <w:t>计算方法</w:t>
            </w:r>
          </w:p>
        </w:tc>
        <w:tc>
          <w:tcPr>
            <w:tcW w:w="1161" w:type="dxa"/>
            <w:tcBorders>
              <w:top w:val="single" w:color="auto" w:sz="4" w:space="0"/>
              <w:left w:val="single" w:color="auto" w:sz="4" w:space="0"/>
              <w:bottom w:val="single" w:color="auto" w:sz="4" w:space="0"/>
              <w:right w:val="single" w:color="auto" w:sz="4" w:space="0"/>
            </w:tcBorders>
            <w:vAlign w:val="center"/>
          </w:tcPr>
          <w:p w14:paraId="53BFC3BD">
            <w:pPr>
              <w:widowControl/>
              <w:jc w:val="center"/>
              <w:rPr>
                <w:rFonts w:ascii="宋体" w:hAnsi="宋体"/>
                <w:color w:val="auto"/>
                <w:sz w:val="22"/>
              </w:rPr>
            </w:pPr>
            <w:r>
              <w:rPr>
                <w:rFonts w:hint="eastAsia" w:ascii="宋体" w:hAnsi="宋体"/>
                <w:color w:val="auto"/>
                <w:sz w:val="22"/>
              </w:rPr>
              <w:t>计算结果</w:t>
            </w:r>
          </w:p>
        </w:tc>
        <w:tc>
          <w:tcPr>
            <w:tcW w:w="821" w:type="dxa"/>
            <w:tcBorders>
              <w:top w:val="single" w:color="auto" w:sz="4" w:space="0"/>
              <w:left w:val="single" w:color="auto" w:sz="4" w:space="0"/>
              <w:bottom w:val="single" w:color="auto" w:sz="4" w:space="0"/>
              <w:right w:val="single" w:color="auto" w:sz="4" w:space="0"/>
            </w:tcBorders>
            <w:vAlign w:val="center"/>
          </w:tcPr>
          <w:p w14:paraId="6334920A">
            <w:pPr>
              <w:widowControl/>
              <w:jc w:val="center"/>
              <w:rPr>
                <w:rFonts w:ascii="宋体" w:hAnsi="宋体"/>
                <w:color w:val="auto"/>
                <w:sz w:val="22"/>
              </w:rPr>
            </w:pPr>
            <w:r>
              <w:rPr>
                <w:rFonts w:hint="eastAsia" w:ascii="宋体" w:hAnsi="宋体"/>
                <w:color w:val="auto"/>
                <w:sz w:val="22"/>
              </w:rPr>
              <w:t>得分</w:t>
            </w:r>
          </w:p>
        </w:tc>
      </w:tr>
      <w:tr w14:paraId="48F8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14:paraId="2E1924D6">
            <w:pPr>
              <w:widowControl/>
              <w:jc w:val="center"/>
              <w:rPr>
                <w:rFonts w:hint="eastAsia" w:ascii="宋体" w:hAnsi="宋体" w:eastAsia="宋体"/>
                <w:color w:val="auto"/>
                <w:sz w:val="22"/>
                <w:lang w:eastAsia="zh-CN"/>
              </w:rPr>
            </w:pPr>
            <w:r>
              <w:rPr>
                <w:rFonts w:hint="eastAsia" w:ascii="宋体" w:hAnsi="宋体"/>
                <w:color w:val="auto"/>
                <w:sz w:val="22"/>
                <w:lang w:eastAsia="zh-CN"/>
              </w:rPr>
              <w:t>1</w:t>
            </w:r>
          </w:p>
        </w:tc>
        <w:tc>
          <w:tcPr>
            <w:tcW w:w="738" w:type="dxa"/>
            <w:tcBorders>
              <w:top w:val="single" w:color="auto" w:sz="4" w:space="0"/>
              <w:left w:val="single" w:color="auto" w:sz="4" w:space="0"/>
              <w:bottom w:val="single" w:color="auto" w:sz="4" w:space="0"/>
              <w:right w:val="single" w:color="auto" w:sz="4" w:space="0"/>
            </w:tcBorders>
            <w:vAlign w:val="center"/>
          </w:tcPr>
          <w:p w14:paraId="46C8BAF0">
            <w:pPr>
              <w:widowControl/>
              <w:jc w:val="center"/>
              <w:rPr>
                <w:rFonts w:ascii="宋体" w:hAnsi="宋体"/>
                <w:color w:val="auto"/>
                <w:sz w:val="22"/>
              </w:rPr>
            </w:pPr>
            <w:r>
              <w:rPr>
                <w:rFonts w:hint="eastAsia" w:ascii="宋体" w:hAnsi="宋体"/>
                <w:color w:val="auto"/>
                <w:sz w:val="22"/>
                <w:lang w:val="en-US" w:eastAsia="zh-CN"/>
              </w:rPr>
              <w:t>20</w:t>
            </w:r>
            <w:r>
              <w:rPr>
                <w:rFonts w:hint="eastAsia" w:ascii="宋体" w:hAnsi="宋体"/>
                <w:color w:val="auto"/>
                <w:sz w:val="22"/>
              </w:rPr>
              <w:t>分</w:t>
            </w:r>
          </w:p>
        </w:tc>
        <w:tc>
          <w:tcPr>
            <w:tcW w:w="1510" w:type="dxa"/>
            <w:tcBorders>
              <w:top w:val="single" w:color="auto" w:sz="4" w:space="0"/>
              <w:left w:val="single" w:color="auto" w:sz="4" w:space="0"/>
              <w:bottom w:val="single" w:color="auto" w:sz="4" w:space="0"/>
              <w:right w:val="single" w:color="auto" w:sz="4" w:space="0"/>
            </w:tcBorders>
            <w:vAlign w:val="center"/>
          </w:tcPr>
          <w:p w14:paraId="43F22E4F">
            <w:pPr>
              <w:widowControl/>
              <w:jc w:val="center"/>
              <w:rPr>
                <w:rFonts w:ascii="宋体" w:hAnsi="宋体"/>
                <w:color w:val="auto"/>
                <w:sz w:val="22"/>
              </w:rPr>
            </w:pPr>
            <w:r>
              <w:rPr>
                <w:rFonts w:ascii="宋体" w:hAnsi="宋体"/>
                <w:color w:val="auto"/>
                <w:sz w:val="22"/>
              </w:rPr>
              <w:t>资质与合规性</w:t>
            </w:r>
          </w:p>
        </w:tc>
        <w:tc>
          <w:tcPr>
            <w:tcW w:w="2426" w:type="dxa"/>
            <w:tcBorders>
              <w:top w:val="single" w:color="auto" w:sz="4" w:space="0"/>
              <w:left w:val="single" w:color="auto" w:sz="4" w:space="0"/>
              <w:bottom w:val="single" w:color="auto" w:sz="4" w:space="0"/>
              <w:right w:val="single" w:color="auto" w:sz="4" w:space="0"/>
            </w:tcBorders>
            <w:vAlign w:val="center"/>
          </w:tcPr>
          <w:p w14:paraId="172BFA63">
            <w:pPr>
              <w:widowControl/>
              <w:jc w:val="left"/>
              <w:rPr>
                <w:rFonts w:ascii="宋体" w:hAnsi="宋体"/>
                <w:color w:val="auto"/>
                <w:sz w:val="22"/>
              </w:rPr>
            </w:pPr>
            <w:r>
              <w:rPr>
                <w:rFonts w:ascii="Segoe UI" w:hAnsi="Segoe UI" w:eastAsia="Segoe UI" w:cs="Segoe UI"/>
                <w:i w:val="0"/>
                <w:iCs w:val="0"/>
                <w:caps w:val="0"/>
                <w:color w:val="0F1115"/>
                <w:spacing w:val="0"/>
                <w:sz w:val="22"/>
                <w:szCs w:val="22"/>
                <w:shd w:val="clear" w:fill="FFFFFF"/>
              </w:rPr>
              <w:t>考核期内无相关行政处罚、安全事故或重大环境污染事件。每发生一次扣5分</w:t>
            </w:r>
          </w:p>
        </w:tc>
        <w:tc>
          <w:tcPr>
            <w:tcW w:w="1161" w:type="dxa"/>
            <w:tcBorders>
              <w:top w:val="single" w:color="auto" w:sz="4" w:space="0"/>
              <w:left w:val="single" w:color="auto" w:sz="4" w:space="0"/>
              <w:bottom w:val="single" w:color="auto" w:sz="4" w:space="0"/>
              <w:right w:val="single" w:color="auto" w:sz="4" w:space="0"/>
            </w:tcBorders>
            <w:vAlign w:val="center"/>
          </w:tcPr>
          <w:p w14:paraId="14584049">
            <w:pPr>
              <w:widowControl/>
              <w:jc w:val="center"/>
              <w:rPr>
                <w:rFonts w:ascii="宋体" w:hAnsi="宋体"/>
                <w:color w:val="auto"/>
                <w:sz w:val="22"/>
              </w:rPr>
            </w:pPr>
          </w:p>
        </w:tc>
        <w:tc>
          <w:tcPr>
            <w:tcW w:w="821" w:type="dxa"/>
            <w:tcBorders>
              <w:top w:val="single" w:color="auto" w:sz="4" w:space="0"/>
              <w:left w:val="single" w:color="auto" w:sz="4" w:space="0"/>
              <w:bottom w:val="single" w:color="auto" w:sz="4" w:space="0"/>
              <w:right w:val="single" w:color="auto" w:sz="4" w:space="0"/>
            </w:tcBorders>
            <w:vAlign w:val="center"/>
          </w:tcPr>
          <w:p w14:paraId="4691E76D">
            <w:pPr>
              <w:widowControl/>
              <w:jc w:val="center"/>
              <w:rPr>
                <w:rFonts w:ascii="宋体" w:hAnsi="宋体"/>
                <w:color w:val="auto"/>
                <w:sz w:val="22"/>
              </w:rPr>
            </w:pPr>
          </w:p>
        </w:tc>
      </w:tr>
      <w:tr w14:paraId="2ADA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14:paraId="7586D647">
            <w:pPr>
              <w:widowControl/>
              <w:jc w:val="center"/>
              <w:rPr>
                <w:rFonts w:hint="eastAsia" w:ascii="宋体" w:hAnsi="宋体" w:eastAsia="宋体"/>
                <w:color w:val="auto"/>
                <w:sz w:val="22"/>
                <w:lang w:eastAsia="zh-CN"/>
              </w:rPr>
            </w:pPr>
            <w:r>
              <w:rPr>
                <w:rFonts w:hint="eastAsia" w:ascii="宋体" w:hAnsi="宋体"/>
                <w:color w:val="auto"/>
                <w:sz w:val="22"/>
                <w:lang w:val="en-US" w:eastAsia="zh-CN"/>
              </w:rPr>
              <w:t>2</w:t>
            </w:r>
          </w:p>
        </w:tc>
        <w:tc>
          <w:tcPr>
            <w:tcW w:w="738" w:type="dxa"/>
            <w:tcBorders>
              <w:top w:val="single" w:color="auto" w:sz="4" w:space="0"/>
              <w:left w:val="single" w:color="auto" w:sz="4" w:space="0"/>
              <w:bottom w:val="single" w:color="auto" w:sz="4" w:space="0"/>
              <w:right w:val="single" w:color="auto" w:sz="4" w:space="0"/>
            </w:tcBorders>
            <w:vAlign w:val="center"/>
          </w:tcPr>
          <w:p w14:paraId="18D31C71">
            <w:pPr>
              <w:widowControl/>
              <w:jc w:val="center"/>
              <w:rPr>
                <w:rFonts w:ascii="宋体" w:hAnsi="宋体"/>
                <w:color w:val="auto"/>
                <w:sz w:val="22"/>
              </w:rPr>
            </w:pPr>
            <w:r>
              <w:rPr>
                <w:rFonts w:hint="eastAsia" w:ascii="宋体" w:hAnsi="宋体"/>
                <w:color w:val="auto"/>
                <w:sz w:val="22"/>
                <w:lang w:val="en-US" w:eastAsia="zh-CN"/>
              </w:rPr>
              <w:t>20</w:t>
            </w:r>
            <w:r>
              <w:rPr>
                <w:rFonts w:hint="eastAsia" w:ascii="宋体" w:hAnsi="宋体"/>
                <w:color w:val="auto"/>
                <w:sz w:val="22"/>
              </w:rPr>
              <w:t>分</w:t>
            </w:r>
          </w:p>
        </w:tc>
        <w:tc>
          <w:tcPr>
            <w:tcW w:w="1510" w:type="dxa"/>
            <w:tcBorders>
              <w:top w:val="single" w:color="auto" w:sz="4" w:space="0"/>
              <w:left w:val="single" w:color="auto" w:sz="4" w:space="0"/>
              <w:bottom w:val="single" w:color="auto" w:sz="4" w:space="0"/>
              <w:right w:val="single" w:color="auto" w:sz="4" w:space="0"/>
            </w:tcBorders>
            <w:vAlign w:val="center"/>
          </w:tcPr>
          <w:p w14:paraId="4D5A9457">
            <w:pPr>
              <w:widowControl/>
              <w:jc w:val="center"/>
              <w:rPr>
                <w:rFonts w:hint="default" w:ascii="宋体" w:hAnsi="宋体" w:eastAsiaTheme="minorEastAsia"/>
                <w:color w:val="auto"/>
                <w:sz w:val="22"/>
                <w:lang w:val="en-US" w:eastAsia="zh-CN"/>
              </w:rPr>
            </w:pPr>
            <w:r>
              <w:rPr>
                <w:rFonts w:ascii="Segoe UI" w:hAnsi="Segoe UI" w:eastAsia="Segoe UI" w:cs="Segoe UI"/>
                <w:i w:val="0"/>
                <w:iCs w:val="0"/>
                <w:caps w:val="0"/>
                <w:color w:val="0F1115"/>
                <w:spacing w:val="0"/>
                <w:sz w:val="22"/>
                <w:szCs w:val="22"/>
                <w:shd w:val="clear" w:fill="FFFFFF"/>
              </w:rPr>
              <w:t>收运及时性</w:t>
            </w:r>
          </w:p>
        </w:tc>
        <w:tc>
          <w:tcPr>
            <w:tcW w:w="2426" w:type="dxa"/>
            <w:tcBorders>
              <w:top w:val="single" w:color="auto" w:sz="4" w:space="0"/>
              <w:left w:val="single" w:color="auto" w:sz="4" w:space="0"/>
              <w:bottom w:val="single" w:color="auto" w:sz="4" w:space="0"/>
              <w:right w:val="single" w:color="auto" w:sz="4" w:space="0"/>
            </w:tcBorders>
            <w:vAlign w:val="center"/>
          </w:tcPr>
          <w:p w14:paraId="2D5A9A45">
            <w:pPr>
              <w:widowControl/>
              <w:jc w:val="left"/>
              <w:rPr>
                <w:rFonts w:hint="default" w:ascii="宋体" w:hAnsi="宋体" w:eastAsia="宋体"/>
                <w:color w:val="auto"/>
                <w:sz w:val="22"/>
                <w:lang w:val="en-US" w:eastAsia="zh-CN"/>
              </w:rPr>
            </w:pPr>
            <w:r>
              <w:rPr>
                <w:rFonts w:ascii="Segoe UI" w:hAnsi="Segoe UI" w:eastAsia="Segoe UI" w:cs="Segoe UI"/>
                <w:i w:val="0"/>
                <w:iCs w:val="0"/>
                <w:caps w:val="0"/>
                <w:color w:val="0F1115"/>
                <w:spacing w:val="0"/>
                <w:sz w:val="22"/>
                <w:szCs w:val="22"/>
                <w:shd w:val="clear" w:fill="FFFFFF"/>
              </w:rPr>
              <w:t>按约定时间准时收运。发生无故延误扣</w:t>
            </w:r>
            <w:r>
              <w:rPr>
                <w:rFonts w:hint="eastAsia" w:ascii="Segoe UI" w:hAnsi="Segoe UI" w:eastAsia="宋体" w:cs="Segoe UI"/>
                <w:i w:val="0"/>
                <w:iCs w:val="0"/>
                <w:caps w:val="0"/>
                <w:color w:val="0F1115"/>
                <w:spacing w:val="0"/>
                <w:sz w:val="22"/>
                <w:szCs w:val="22"/>
                <w:shd w:val="clear" w:fill="FFFFFF"/>
                <w:lang w:val="en-US" w:eastAsia="zh-CN"/>
              </w:rPr>
              <w:t>10</w:t>
            </w:r>
            <w:r>
              <w:rPr>
                <w:rFonts w:ascii="Segoe UI" w:hAnsi="Segoe UI" w:eastAsia="Segoe UI" w:cs="Segoe UI"/>
                <w:i w:val="0"/>
                <w:iCs w:val="0"/>
                <w:caps w:val="0"/>
                <w:color w:val="0F1115"/>
                <w:spacing w:val="0"/>
                <w:sz w:val="22"/>
                <w:szCs w:val="22"/>
                <w:shd w:val="clear" w:fill="FFFFFF"/>
              </w:rPr>
              <w:t>分</w:t>
            </w:r>
          </w:p>
        </w:tc>
        <w:tc>
          <w:tcPr>
            <w:tcW w:w="1161" w:type="dxa"/>
            <w:tcBorders>
              <w:top w:val="single" w:color="auto" w:sz="4" w:space="0"/>
              <w:left w:val="single" w:color="auto" w:sz="4" w:space="0"/>
              <w:bottom w:val="single" w:color="auto" w:sz="4" w:space="0"/>
              <w:right w:val="single" w:color="auto" w:sz="4" w:space="0"/>
            </w:tcBorders>
            <w:vAlign w:val="center"/>
          </w:tcPr>
          <w:p w14:paraId="3326C4EA">
            <w:pPr>
              <w:widowControl/>
              <w:jc w:val="center"/>
              <w:rPr>
                <w:rFonts w:ascii="宋体" w:hAnsi="宋体"/>
                <w:color w:val="auto"/>
                <w:sz w:val="22"/>
              </w:rPr>
            </w:pPr>
          </w:p>
        </w:tc>
        <w:tc>
          <w:tcPr>
            <w:tcW w:w="821" w:type="dxa"/>
            <w:tcBorders>
              <w:top w:val="single" w:color="auto" w:sz="4" w:space="0"/>
              <w:left w:val="single" w:color="auto" w:sz="4" w:space="0"/>
              <w:bottom w:val="single" w:color="auto" w:sz="4" w:space="0"/>
              <w:right w:val="single" w:color="auto" w:sz="4" w:space="0"/>
            </w:tcBorders>
            <w:vAlign w:val="center"/>
          </w:tcPr>
          <w:p w14:paraId="56C9B8F8">
            <w:pPr>
              <w:widowControl/>
              <w:jc w:val="center"/>
              <w:rPr>
                <w:rFonts w:ascii="宋体" w:hAnsi="宋体"/>
                <w:color w:val="auto"/>
                <w:sz w:val="22"/>
              </w:rPr>
            </w:pPr>
          </w:p>
        </w:tc>
      </w:tr>
      <w:tr w14:paraId="2009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14:paraId="48F42F4B">
            <w:pPr>
              <w:widowControl/>
              <w:jc w:val="center"/>
              <w:rPr>
                <w:rFonts w:hint="eastAsia" w:ascii="宋体" w:hAnsi="宋体" w:eastAsia="宋体"/>
                <w:color w:val="auto"/>
                <w:sz w:val="22"/>
                <w:lang w:eastAsia="zh-CN"/>
              </w:rPr>
            </w:pPr>
            <w:r>
              <w:rPr>
                <w:rFonts w:hint="eastAsia" w:ascii="宋体" w:hAnsi="宋体"/>
                <w:color w:val="auto"/>
                <w:sz w:val="22"/>
                <w:lang w:val="en-US" w:eastAsia="zh-CN"/>
              </w:rPr>
              <w:t>3</w:t>
            </w:r>
          </w:p>
        </w:tc>
        <w:tc>
          <w:tcPr>
            <w:tcW w:w="738" w:type="dxa"/>
            <w:tcBorders>
              <w:top w:val="single" w:color="auto" w:sz="4" w:space="0"/>
              <w:left w:val="single" w:color="auto" w:sz="4" w:space="0"/>
              <w:bottom w:val="single" w:color="auto" w:sz="4" w:space="0"/>
              <w:right w:val="single" w:color="auto" w:sz="4" w:space="0"/>
            </w:tcBorders>
            <w:vAlign w:val="center"/>
          </w:tcPr>
          <w:p w14:paraId="05741FC5">
            <w:pPr>
              <w:widowControl/>
              <w:jc w:val="center"/>
              <w:rPr>
                <w:rFonts w:ascii="宋体" w:hAnsi="宋体"/>
                <w:color w:val="auto"/>
                <w:sz w:val="22"/>
              </w:rPr>
            </w:pPr>
            <w:r>
              <w:rPr>
                <w:rFonts w:hint="eastAsia" w:ascii="宋体" w:hAnsi="宋体"/>
                <w:color w:val="auto"/>
                <w:sz w:val="22"/>
                <w:lang w:val="en-US" w:eastAsia="zh-CN"/>
              </w:rPr>
              <w:t>40</w:t>
            </w:r>
            <w:r>
              <w:rPr>
                <w:rFonts w:hint="eastAsia" w:ascii="宋体" w:hAnsi="宋体"/>
                <w:color w:val="auto"/>
                <w:sz w:val="22"/>
              </w:rPr>
              <w:t>分</w:t>
            </w:r>
          </w:p>
        </w:tc>
        <w:tc>
          <w:tcPr>
            <w:tcW w:w="1510" w:type="dxa"/>
            <w:tcBorders>
              <w:top w:val="single" w:color="auto" w:sz="4" w:space="0"/>
              <w:left w:val="single" w:color="auto" w:sz="4" w:space="0"/>
              <w:bottom w:val="single" w:color="auto" w:sz="4" w:space="0"/>
              <w:right w:val="single" w:color="auto" w:sz="4" w:space="0"/>
            </w:tcBorders>
            <w:vAlign w:val="center"/>
          </w:tcPr>
          <w:p w14:paraId="7D4350DD">
            <w:pPr>
              <w:widowControl/>
              <w:jc w:val="center"/>
              <w:rPr>
                <w:rFonts w:ascii="宋体" w:hAnsi="宋体"/>
                <w:color w:val="auto"/>
                <w:sz w:val="22"/>
              </w:rPr>
            </w:pPr>
            <w:r>
              <w:rPr>
                <w:rFonts w:ascii="Segoe UI" w:hAnsi="Segoe UI" w:eastAsia="Segoe UI" w:cs="Segoe UI"/>
                <w:i w:val="0"/>
                <w:iCs w:val="0"/>
                <w:caps w:val="0"/>
                <w:color w:val="0F1115"/>
                <w:spacing w:val="0"/>
                <w:sz w:val="22"/>
                <w:szCs w:val="22"/>
                <w:shd w:val="clear" w:fill="FFFFFF"/>
              </w:rPr>
              <w:t>转移联单管理</w:t>
            </w:r>
          </w:p>
        </w:tc>
        <w:tc>
          <w:tcPr>
            <w:tcW w:w="2426" w:type="dxa"/>
            <w:tcBorders>
              <w:top w:val="single" w:color="auto" w:sz="4" w:space="0"/>
              <w:left w:val="single" w:color="auto" w:sz="4" w:space="0"/>
              <w:bottom w:val="single" w:color="auto" w:sz="4" w:space="0"/>
              <w:right w:val="single" w:color="auto" w:sz="4" w:space="0"/>
            </w:tcBorders>
            <w:vAlign w:val="center"/>
          </w:tcPr>
          <w:p w14:paraId="67F81DE4">
            <w:pPr>
              <w:widowControl/>
              <w:jc w:val="left"/>
              <w:rPr>
                <w:rFonts w:hint="default" w:ascii="宋体" w:hAnsi="宋体" w:eastAsia="宋体"/>
                <w:color w:val="auto"/>
                <w:sz w:val="22"/>
                <w:lang w:val="en-US" w:eastAsia="zh-CN"/>
              </w:rPr>
            </w:pPr>
            <w:r>
              <w:rPr>
                <w:rFonts w:ascii="Segoe UI" w:hAnsi="Segoe UI" w:eastAsia="Segoe UI" w:cs="Segoe UI"/>
                <w:i w:val="0"/>
                <w:iCs w:val="0"/>
                <w:caps w:val="0"/>
                <w:color w:val="0F1115"/>
                <w:spacing w:val="0"/>
                <w:sz w:val="22"/>
                <w:szCs w:val="22"/>
                <w:shd w:val="clear" w:fill="FFFFFF"/>
              </w:rPr>
              <w:t>联单填写规范、传递及时、存档完整</w:t>
            </w:r>
            <w:r>
              <w:rPr>
                <w:rFonts w:hint="eastAsia" w:ascii="Segoe UI" w:hAnsi="Segoe UI" w:eastAsia="宋体" w:cs="Segoe UI"/>
                <w:i w:val="0"/>
                <w:iCs w:val="0"/>
                <w:caps w:val="0"/>
                <w:color w:val="0F1115"/>
                <w:spacing w:val="0"/>
                <w:sz w:val="22"/>
                <w:szCs w:val="22"/>
                <w:shd w:val="clear" w:fill="FFFFFF"/>
                <w:lang w:eastAsia="zh-CN"/>
              </w:rPr>
              <w:t>，</w:t>
            </w:r>
            <w:r>
              <w:rPr>
                <w:rFonts w:hint="eastAsia" w:ascii="Segoe UI" w:hAnsi="Segoe UI" w:eastAsia="宋体" w:cs="Segoe UI"/>
                <w:i w:val="0"/>
                <w:iCs w:val="0"/>
                <w:caps w:val="0"/>
                <w:color w:val="0F1115"/>
                <w:spacing w:val="0"/>
                <w:sz w:val="22"/>
                <w:szCs w:val="22"/>
                <w:shd w:val="clear" w:fill="FFFFFF"/>
                <w:lang w:val="en-US" w:eastAsia="zh-CN"/>
              </w:rPr>
              <w:t>发现一处问题，扣10分</w:t>
            </w:r>
          </w:p>
        </w:tc>
        <w:tc>
          <w:tcPr>
            <w:tcW w:w="1161" w:type="dxa"/>
            <w:tcBorders>
              <w:top w:val="single" w:color="auto" w:sz="4" w:space="0"/>
              <w:left w:val="single" w:color="auto" w:sz="4" w:space="0"/>
              <w:bottom w:val="single" w:color="auto" w:sz="4" w:space="0"/>
              <w:right w:val="single" w:color="auto" w:sz="4" w:space="0"/>
            </w:tcBorders>
            <w:vAlign w:val="center"/>
          </w:tcPr>
          <w:p w14:paraId="7CD49C26">
            <w:pPr>
              <w:widowControl/>
              <w:jc w:val="center"/>
              <w:rPr>
                <w:rFonts w:ascii="宋体" w:hAnsi="宋体"/>
                <w:color w:val="auto"/>
                <w:sz w:val="22"/>
              </w:rPr>
            </w:pPr>
          </w:p>
        </w:tc>
        <w:tc>
          <w:tcPr>
            <w:tcW w:w="821" w:type="dxa"/>
            <w:tcBorders>
              <w:top w:val="single" w:color="auto" w:sz="4" w:space="0"/>
              <w:left w:val="single" w:color="auto" w:sz="4" w:space="0"/>
              <w:bottom w:val="single" w:color="auto" w:sz="4" w:space="0"/>
              <w:right w:val="single" w:color="auto" w:sz="4" w:space="0"/>
            </w:tcBorders>
            <w:vAlign w:val="center"/>
          </w:tcPr>
          <w:p w14:paraId="04DDF631">
            <w:pPr>
              <w:widowControl/>
              <w:jc w:val="center"/>
              <w:rPr>
                <w:rFonts w:ascii="宋体" w:hAnsi="宋体"/>
                <w:color w:val="auto"/>
                <w:sz w:val="22"/>
              </w:rPr>
            </w:pPr>
          </w:p>
        </w:tc>
      </w:tr>
      <w:tr w14:paraId="643D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14:paraId="481179E7">
            <w:pPr>
              <w:widowControl/>
              <w:jc w:val="center"/>
              <w:rPr>
                <w:rFonts w:hint="eastAsia" w:ascii="宋体" w:hAnsi="宋体" w:eastAsia="宋体"/>
                <w:color w:val="auto"/>
                <w:sz w:val="22"/>
                <w:lang w:eastAsia="zh-CN"/>
              </w:rPr>
            </w:pPr>
            <w:r>
              <w:rPr>
                <w:rFonts w:hint="eastAsia" w:ascii="宋体" w:hAnsi="宋体"/>
                <w:color w:val="auto"/>
                <w:sz w:val="22"/>
                <w:lang w:val="en-US" w:eastAsia="zh-CN"/>
              </w:rPr>
              <w:t>4</w:t>
            </w:r>
          </w:p>
        </w:tc>
        <w:tc>
          <w:tcPr>
            <w:tcW w:w="738" w:type="dxa"/>
            <w:tcBorders>
              <w:top w:val="single" w:color="auto" w:sz="4" w:space="0"/>
              <w:left w:val="single" w:color="auto" w:sz="4" w:space="0"/>
              <w:bottom w:val="single" w:color="auto" w:sz="4" w:space="0"/>
              <w:right w:val="single" w:color="auto" w:sz="4" w:space="0"/>
            </w:tcBorders>
            <w:vAlign w:val="center"/>
          </w:tcPr>
          <w:p w14:paraId="5B17DB9F">
            <w:pPr>
              <w:widowControl/>
              <w:jc w:val="center"/>
              <w:rPr>
                <w:rFonts w:ascii="宋体" w:hAnsi="宋体"/>
                <w:color w:val="auto"/>
                <w:sz w:val="22"/>
              </w:rPr>
            </w:pPr>
            <w:r>
              <w:rPr>
                <w:rFonts w:hint="eastAsia" w:ascii="宋体" w:hAnsi="宋体"/>
                <w:color w:val="auto"/>
                <w:sz w:val="22"/>
                <w:lang w:val="en-US" w:eastAsia="zh-CN"/>
              </w:rPr>
              <w:t>20</w:t>
            </w:r>
            <w:r>
              <w:rPr>
                <w:rFonts w:hint="eastAsia" w:ascii="宋体" w:hAnsi="宋体"/>
                <w:color w:val="auto"/>
                <w:sz w:val="22"/>
              </w:rPr>
              <w:t>分</w:t>
            </w:r>
          </w:p>
        </w:tc>
        <w:tc>
          <w:tcPr>
            <w:tcW w:w="1510" w:type="dxa"/>
            <w:tcBorders>
              <w:top w:val="single" w:color="auto" w:sz="4" w:space="0"/>
              <w:left w:val="single" w:color="auto" w:sz="4" w:space="0"/>
              <w:bottom w:val="single" w:color="auto" w:sz="4" w:space="0"/>
              <w:right w:val="single" w:color="auto" w:sz="4" w:space="0"/>
            </w:tcBorders>
            <w:vAlign w:val="center"/>
          </w:tcPr>
          <w:p w14:paraId="16C66A28">
            <w:pPr>
              <w:widowControl/>
              <w:jc w:val="center"/>
              <w:rPr>
                <w:rFonts w:ascii="宋体" w:hAnsi="宋体"/>
                <w:color w:val="auto"/>
                <w:sz w:val="22"/>
              </w:rPr>
            </w:pPr>
            <w:r>
              <w:rPr>
                <w:rFonts w:hint="eastAsia" w:ascii="宋体" w:hAnsi="宋体"/>
                <w:color w:val="auto"/>
                <w:sz w:val="22"/>
              </w:rPr>
              <w:t>合同执行情况</w:t>
            </w:r>
          </w:p>
        </w:tc>
        <w:tc>
          <w:tcPr>
            <w:tcW w:w="2426" w:type="dxa"/>
            <w:tcBorders>
              <w:top w:val="single" w:color="auto" w:sz="4" w:space="0"/>
              <w:left w:val="single" w:color="auto" w:sz="4" w:space="0"/>
              <w:bottom w:val="single" w:color="auto" w:sz="4" w:space="0"/>
              <w:right w:val="single" w:color="auto" w:sz="4" w:space="0"/>
            </w:tcBorders>
            <w:vAlign w:val="center"/>
          </w:tcPr>
          <w:p w14:paraId="2D43F693">
            <w:pPr>
              <w:widowControl/>
              <w:jc w:val="left"/>
              <w:rPr>
                <w:rFonts w:ascii="宋体" w:hAnsi="宋体"/>
                <w:color w:val="auto"/>
                <w:sz w:val="22"/>
              </w:rPr>
            </w:pPr>
            <w:r>
              <w:rPr>
                <w:rFonts w:hint="eastAsia" w:ascii="宋体" w:hAnsi="宋体"/>
                <w:color w:val="auto"/>
                <w:sz w:val="22"/>
              </w:rPr>
              <w:t>按合同条款执行情况综合评分</w:t>
            </w:r>
          </w:p>
        </w:tc>
        <w:tc>
          <w:tcPr>
            <w:tcW w:w="1161" w:type="dxa"/>
            <w:tcBorders>
              <w:top w:val="single" w:color="auto" w:sz="4" w:space="0"/>
              <w:left w:val="single" w:color="auto" w:sz="4" w:space="0"/>
              <w:bottom w:val="single" w:color="auto" w:sz="4" w:space="0"/>
              <w:right w:val="single" w:color="auto" w:sz="4" w:space="0"/>
            </w:tcBorders>
            <w:vAlign w:val="center"/>
          </w:tcPr>
          <w:p w14:paraId="3E6A9D8A">
            <w:pPr>
              <w:widowControl/>
              <w:jc w:val="center"/>
              <w:rPr>
                <w:rFonts w:ascii="宋体" w:hAnsi="宋体"/>
                <w:color w:val="auto"/>
                <w:sz w:val="22"/>
              </w:rPr>
            </w:pPr>
          </w:p>
        </w:tc>
        <w:tc>
          <w:tcPr>
            <w:tcW w:w="821" w:type="dxa"/>
            <w:tcBorders>
              <w:top w:val="single" w:color="auto" w:sz="4" w:space="0"/>
              <w:left w:val="single" w:color="auto" w:sz="4" w:space="0"/>
              <w:bottom w:val="single" w:color="auto" w:sz="4" w:space="0"/>
              <w:right w:val="single" w:color="auto" w:sz="4" w:space="0"/>
            </w:tcBorders>
            <w:vAlign w:val="center"/>
          </w:tcPr>
          <w:p w14:paraId="16758EBA">
            <w:pPr>
              <w:widowControl/>
              <w:jc w:val="center"/>
              <w:rPr>
                <w:rFonts w:ascii="宋体" w:hAnsi="宋体"/>
                <w:color w:val="auto"/>
                <w:sz w:val="22"/>
              </w:rPr>
            </w:pPr>
          </w:p>
        </w:tc>
      </w:tr>
      <w:tr w14:paraId="0C7D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565" w:type="dxa"/>
            <w:gridSpan w:val="5"/>
            <w:tcBorders>
              <w:top w:val="single" w:color="auto" w:sz="4" w:space="0"/>
              <w:left w:val="single" w:color="auto" w:sz="4" w:space="0"/>
              <w:bottom w:val="single" w:color="auto" w:sz="4" w:space="0"/>
              <w:right w:val="single" w:color="auto" w:sz="4" w:space="0"/>
            </w:tcBorders>
            <w:vAlign w:val="center"/>
          </w:tcPr>
          <w:p w14:paraId="6C490477">
            <w:pPr>
              <w:widowControl/>
              <w:jc w:val="center"/>
              <w:rPr>
                <w:rFonts w:ascii="宋体" w:hAnsi="宋体"/>
                <w:color w:val="auto"/>
                <w:sz w:val="22"/>
              </w:rPr>
            </w:pPr>
            <w:r>
              <w:rPr>
                <w:rFonts w:hint="eastAsia" w:ascii="宋体" w:hAnsi="宋体"/>
                <w:color w:val="auto"/>
                <w:sz w:val="22"/>
              </w:rPr>
              <w:t>合计得分</w:t>
            </w:r>
          </w:p>
        </w:tc>
        <w:tc>
          <w:tcPr>
            <w:tcW w:w="821" w:type="dxa"/>
            <w:tcBorders>
              <w:top w:val="single" w:color="auto" w:sz="4" w:space="0"/>
              <w:left w:val="single" w:color="auto" w:sz="4" w:space="0"/>
              <w:bottom w:val="single" w:color="auto" w:sz="4" w:space="0"/>
              <w:right w:val="single" w:color="auto" w:sz="4" w:space="0"/>
            </w:tcBorders>
            <w:vAlign w:val="center"/>
          </w:tcPr>
          <w:p w14:paraId="6F78D105">
            <w:pPr>
              <w:widowControl/>
              <w:jc w:val="center"/>
              <w:rPr>
                <w:rFonts w:ascii="宋体" w:hAnsi="宋体"/>
                <w:color w:val="auto"/>
                <w:sz w:val="22"/>
              </w:rPr>
            </w:pPr>
          </w:p>
        </w:tc>
      </w:tr>
      <w:tr w14:paraId="4D93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14:paraId="5477D961">
            <w:pPr>
              <w:widowControl/>
              <w:jc w:val="center"/>
              <w:rPr>
                <w:rFonts w:ascii="宋体" w:hAnsi="宋体"/>
                <w:color w:val="auto"/>
                <w:sz w:val="22"/>
              </w:rPr>
            </w:pPr>
            <w:r>
              <w:rPr>
                <w:rFonts w:hint="eastAsia" w:ascii="宋体" w:hAnsi="宋体"/>
                <w:color w:val="auto"/>
                <w:sz w:val="22"/>
              </w:rPr>
              <w:t>考评单位</w:t>
            </w:r>
          </w:p>
        </w:tc>
        <w:tc>
          <w:tcPr>
            <w:tcW w:w="6656" w:type="dxa"/>
            <w:gridSpan w:val="5"/>
            <w:tcBorders>
              <w:top w:val="single" w:color="auto" w:sz="4" w:space="0"/>
              <w:left w:val="single" w:color="auto" w:sz="4" w:space="0"/>
              <w:bottom w:val="single" w:color="auto" w:sz="4" w:space="0"/>
              <w:right w:val="single" w:color="auto" w:sz="4" w:space="0"/>
            </w:tcBorders>
            <w:vAlign w:val="center"/>
          </w:tcPr>
          <w:p w14:paraId="57EC03B9">
            <w:pPr>
              <w:widowControl/>
              <w:jc w:val="center"/>
              <w:rPr>
                <w:rFonts w:ascii="宋体" w:hAnsi="宋体"/>
                <w:color w:val="auto"/>
                <w:sz w:val="22"/>
              </w:rPr>
            </w:pPr>
          </w:p>
        </w:tc>
      </w:tr>
    </w:tbl>
    <w:p w14:paraId="2BC05C3E">
      <w:pPr>
        <w:pStyle w:val="11"/>
        <w:ind w:left="0" w:leftChars="0" w:firstLine="0" w:firstLineChars="0"/>
        <w:jc w:val="both"/>
        <w:rPr>
          <w:rFonts w:hint="default" w:ascii="方正黑体简体" w:hAnsi="方正黑体简体" w:eastAsia="方正黑体简体" w:cs="方正黑体简体"/>
          <w:b/>
          <w:bCs/>
          <w:sz w:val="32"/>
          <w:szCs w:val="28"/>
          <w:lang w:val="en-US" w:eastAsia="zh-CN"/>
        </w:rPr>
      </w:pPr>
      <w:r>
        <w:rPr>
          <w:rFonts w:hint="eastAsia"/>
          <w:sz w:val="24"/>
          <w:szCs w:val="24"/>
          <w:vertAlign w:val="baseline"/>
          <w:lang w:val="en-US" w:eastAsia="zh-CN"/>
        </w:rPr>
        <w:t>注：每年度对供应商进行考核，考核分数在80分及以上，可选择续签。</w:t>
      </w:r>
    </w:p>
    <w:p w14:paraId="2A12605B">
      <w:pPr>
        <w:keepNext w:val="0"/>
        <w:keepLines w:val="0"/>
        <w:pageBreakBefore w:val="0"/>
        <w:widowControl w:val="0"/>
        <w:kinsoku/>
        <w:wordWrap/>
        <w:overflowPunct/>
        <w:topLinePunct w:val="0"/>
        <w:autoSpaceDE/>
        <w:autoSpaceDN/>
        <w:bidi w:val="0"/>
        <w:adjustRightInd/>
        <w:snapToGrid/>
        <w:spacing w:before="260" w:after="260" w:line="416" w:lineRule="auto"/>
        <w:ind w:left="0" w:leftChars="0" w:firstLine="0" w:firstLineChars="0"/>
        <w:jc w:val="both"/>
        <w:textAlignment w:val="auto"/>
        <w:outlineLvl w:val="2"/>
        <w:rPr>
          <w:rFonts w:hint="default" w:ascii="Times New Roman" w:hAnsi="Times New Roman" w:eastAsia="方正仿宋简体" w:cs="Times New Roman"/>
          <w:b w:val="0"/>
          <w:bCs w:val="0"/>
          <w:kern w:val="2"/>
          <w:sz w:val="32"/>
          <w:szCs w:val="32"/>
          <w:lang w:val="en-US" w:eastAsia="zh-CN" w:bidi="ar-SA"/>
        </w:rPr>
      </w:pPr>
    </w:p>
    <w:p w14:paraId="5A01F745">
      <w:pPr>
        <w:bidi w:val="0"/>
        <w:rPr>
          <w:rFonts w:hint="eastAsia"/>
          <w:lang w:val="en-US" w:eastAsia="zh-CN"/>
        </w:rPr>
      </w:pPr>
    </w:p>
    <w:p w14:paraId="3FBE0FD9">
      <w:pPr>
        <w:bidi w:val="0"/>
        <w:rPr>
          <w:rFonts w:hint="eastAsia"/>
          <w:lang w:val="en-US" w:eastAsia="zh-CN"/>
        </w:rPr>
      </w:pPr>
    </w:p>
    <w:p w14:paraId="5C9AD8C8">
      <w:pPr>
        <w:bidi w:val="0"/>
        <w:rPr>
          <w:rFonts w:hint="eastAsia"/>
          <w:lang w:val="en-US" w:eastAsia="zh-CN"/>
        </w:rPr>
      </w:pPr>
    </w:p>
    <w:p w14:paraId="64290250">
      <w:pPr>
        <w:bidi w:val="0"/>
        <w:rPr>
          <w:rFonts w:hint="default"/>
          <w:lang w:val="en-US" w:eastAsia="zh-CN"/>
        </w:rPr>
      </w:pPr>
      <w:bookmarkStart w:id="0" w:name="_GoBack"/>
      <w:bookmarkEnd w:id="0"/>
    </w:p>
    <w:sectPr>
      <w:headerReference r:id="rId8" w:type="default"/>
      <w:footerReference r:id="rId9" w:type="default"/>
      <w:pgSz w:w="11906" w:h="16838"/>
      <w:pgMar w:top="2098" w:right="1587" w:bottom="1587" w:left="1587"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Meiryo">
    <w:altName w:val="MS Gothic"/>
    <w:panose1 w:val="00000000000000000000"/>
    <w:charset w:val="80"/>
    <w:family w:val="swiss"/>
    <w:pitch w:val="default"/>
    <w:sig w:usb0="00000000" w:usb1="00000000" w:usb2="00010012" w:usb3="00000000" w:csb0="000200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ECA14">
    <w:pPr>
      <w:jc w:val="cente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91CBE">
                          <w:pPr>
                            <w:pStyle w:val="8"/>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F91CBE">
                    <w:pPr>
                      <w:pStyle w:val="8"/>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0AC98">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55F75">
                          <w:pPr>
                            <w:pStyle w:val="8"/>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E055F75">
                    <w:pPr>
                      <w:pStyle w:val="8"/>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D8016">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C5D67">
                          <w:pPr>
                            <w:pStyle w:val="8"/>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E2C5D67">
                    <w:pPr>
                      <w:pStyle w:val="8"/>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FA35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08C63">
                          <w:pPr>
                            <w:pStyle w:val="8"/>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A08C63">
                    <w:pPr>
                      <w:pStyle w:val="8"/>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4DC2D">
    <w:pPr>
      <w:pBdr>
        <w:top w:val="none" w:color="000000" w:sz="0" w:space="3"/>
        <w:left w:val="none" w:color="000000" w:sz="0" w:space="3"/>
        <w:right w:val="none" w:color="000000" w:sz="0" w:space="3"/>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1509A">
    <w:pPr>
      <w:pStyle w:val="9"/>
      <w:pBdr>
        <w:top w:val="none" w:color="auto" w:sz="0" w:space="0"/>
        <w:left w:val="none" w:color="auto" w:sz="0" w:space="0"/>
        <w:bottom w:val="none" w:color="auto" w:sz="0" w:space="0"/>
        <w:right w:val="none" w:color="auto" w:sz="0" w:space="0"/>
        <w:between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93A3">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823FF2"/>
    <w:multiLevelType w:val="singleLevel"/>
    <w:tmpl w:val="EF823FF2"/>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599B81A9"/>
    <w:multiLevelType w:val="singleLevel"/>
    <w:tmpl w:val="599B81A9"/>
    <w:lvl w:ilvl="0" w:tentative="0">
      <w:start w:val="6"/>
      <w:numFmt w:val="chineseCounting"/>
      <w:suff w:val="space"/>
      <w:lvlText w:val="第%1条"/>
      <w:lvlJc w:val="left"/>
    </w:lvl>
  </w:abstractNum>
  <w:abstractNum w:abstractNumId="3">
    <w:nsid w:val="599B828B"/>
    <w:multiLevelType w:val="singleLevel"/>
    <w:tmpl w:val="599B828B"/>
    <w:lvl w:ilvl="0" w:tentative="0">
      <w:start w:val="7"/>
      <w:numFmt w:val="chineseCounting"/>
      <w:suff w:val="space"/>
      <w:lvlText w:val="第%1条"/>
      <w:lvlJc w:val="left"/>
    </w:lvl>
  </w:abstractNum>
  <w:abstractNum w:abstractNumId="4">
    <w:nsid w:val="599B8525"/>
    <w:multiLevelType w:val="singleLevel"/>
    <w:tmpl w:val="599B8525"/>
    <w:lvl w:ilvl="0" w:tentative="0">
      <w:start w:val="12"/>
      <w:numFmt w:val="chineseCounting"/>
      <w:suff w:val="space"/>
      <w:lvlText w:val="第%1条"/>
      <w:lvlJc w:val="left"/>
    </w:lvl>
  </w:abstractNum>
  <w:abstractNum w:abstractNumId="5">
    <w:nsid w:val="599BA79F"/>
    <w:multiLevelType w:val="singleLevel"/>
    <w:tmpl w:val="599BA79F"/>
    <w:lvl w:ilvl="0" w:tentative="0">
      <w:start w:val="1"/>
      <w:numFmt w:val="chineseCounting"/>
      <w:suff w:val="nothing"/>
      <w:lvlText w:val="（%1）"/>
      <w:lvlJc w:val="left"/>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MzM3MDdmNDQ2M2UwMDc3MzA0YzY0OWUwMGE0MzYifQ=="/>
  </w:docVars>
  <w:rsids>
    <w:rsidRoot w:val="31894225"/>
    <w:rsid w:val="047E7C3A"/>
    <w:rsid w:val="06952D48"/>
    <w:rsid w:val="07A81525"/>
    <w:rsid w:val="08ED512C"/>
    <w:rsid w:val="0919178E"/>
    <w:rsid w:val="0948525F"/>
    <w:rsid w:val="09B302C8"/>
    <w:rsid w:val="0A4D7FFB"/>
    <w:rsid w:val="0A5013C7"/>
    <w:rsid w:val="0AC45170"/>
    <w:rsid w:val="0BC32105"/>
    <w:rsid w:val="0BF73B5D"/>
    <w:rsid w:val="0D611BD6"/>
    <w:rsid w:val="0FD418D3"/>
    <w:rsid w:val="102B2696"/>
    <w:rsid w:val="11357601"/>
    <w:rsid w:val="113D0D0D"/>
    <w:rsid w:val="11EA35C5"/>
    <w:rsid w:val="13093356"/>
    <w:rsid w:val="13CF4568"/>
    <w:rsid w:val="142B3F4B"/>
    <w:rsid w:val="14AC1ECC"/>
    <w:rsid w:val="14B27678"/>
    <w:rsid w:val="153E179C"/>
    <w:rsid w:val="15715C96"/>
    <w:rsid w:val="17DE3E23"/>
    <w:rsid w:val="18BE612E"/>
    <w:rsid w:val="19E716B5"/>
    <w:rsid w:val="1ADA0BDB"/>
    <w:rsid w:val="1B1B2662"/>
    <w:rsid w:val="1B481CDF"/>
    <w:rsid w:val="1D1C4499"/>
    <w:rsid w:val="1E4470D6"/>
    <w:rsid w:val="1E9E5F18"/>
    <w:rsid w:val="21AD2ADB"/>
    <w:rsid w:val="233B2890"/>
    <w:rsid w:val="2378337E"/>
    <w:rsid w:val="2419690F"/>
    <w:rsid w:val="247845B6"/>
    <w:rsid w:val="251B47D5"/>
    <w:rsid w:val="25C96113"/>
    <w:rsid w:val="261B15C4"/>
    <w:rsid w:val="271377A8"/>
    <w:rsid w:val="27167136"/>
    <w:rsid w:val="273D4D07"/>
    <w:rsid w:val="274A5CDE"/>
    <w:rsid w:val="28321DB0"/>
    <w:rsid w:val="28A5282C"/>
    <w:rsid w:val="2B4A73A8"/>
    <w:rsid w:val="2CD921FA"/>
    <w:rsid w:val="2D2307FE"/>
    <w:rsid w:val="2D7050C6"/>
    <w:rsid w:val="304B42F4"/>
    <w:rsid w:val="308C70F9"/>
    <w:rsid w:val="30E563C3"/>
    <w:rsid w:val="31894225"/>
    <w:rsid w:val="320F3A3F"/>
    <w:rsid w:val="3421711A"/>
    <w:rsid w:val="35593941"/>
    <w:rsid w:val="356967E3"/>
    <w:rsid w:val="35FC1151"/>
    <w:rsid w:val="364F7F6E"/>
    <w:rsid w:val="36AE1B85"/>
    <w:rsid w:val="372E66B4"/>
    <w:rsid w:val="37DC4063"/>
    <w:rsid w:val="37E204AC"/>
    <w:rsid w:val="38286CC9"/>
    <w:rsid w:val="3A635C3D"/>
    <w:rsid w:val="3F852C53"/>
    <w:rsid w:val="404116A2"/>
    <w:rsid w:val="4171233F"/>
    <w:rsid w:val="45F615DA"/>
    <w:rsid w:val="45F70AD0"/>
    <w:rsid w:val="4687522D"/>
    <w:rsid w:val="46E64EC4"/>
    <w:rsid w:val="4AEE3DA2"/>
    <w:rsid w:val="4C481290"/>
    <w:rsid w:val="4DFF1E22"/>
    <w:rsid w:val="4E481A1B"/>
    <w:rsid w:val="505F4DFA"/>
    <w:rsid w:val="50724508"/>
    <w:rsid w:val="512204EE"/>
    <w:rsid w:val="51ED6884"/>
    <w:rsid w:val="521B614E"/>
    <w:rsid w:val="523321FF"/>
    <w:rsid w:val="52FD5C6E"/>
    <w:rsid w:val="53A01EBE"/>
    <w:rsid w:val="577A0ADC"/>
    <w:rsid w:val="57803432"/>
    <w:rsid w:val="58FC49D1"/>
    <w:rsid w:val="59031878"/>
    <w:rsid w:val="599219D8"/>
    <w:rsid w:val="5A2D4A00"/>
    <w:rsid w:val="5A51252E"/>
    <w:rsid w:val="5AAB269B"/>
    <w:rsid w:val="5AE961F8"/>
    <w:rsid w:val="5BC776FE"/>
    <w:rsid w:val="5D254A0F"/>
    <w:rsid w:val="5DE80B25"/>
    <w:rsid w:val="5DF440DB"/>
    <w:rsid w:val="5FE60F35"/>
    <w:rsid w:val="609C4E72"/>
    <w:rsid w:val="60D11142"/>
    <w:rsid w:val="615304DA"/>
    <w:rsid w:val="62900E3F"/>
    <w:rsid w:val="629D618D"/>
    <w:rsid w:val="63293D73"/>
    <w:rsid w:val="63657A8F"/>
    <w:rsid w:val="64566723"/>
    <w:rsid w:val="6780351C"/>
    <w:rsid w:val="68750863"/>
    <w:rsid w:val="68AA3E27"/>
    <w:rsid w:val="697A2F79"/>
    <w:rsid w:val="6A1D206E"/>
    <w:rsid w:val="6A2A28DA"/>
    <w:rsid w:val="6AD07272"/>
    <w:rsid w:val="6B4876FD"/>
    <w:rsid w:val="6C0974C5"/>
    <w:rsid w:val="6C5B3B1F"/>
    <w:rsid w:val="6C89733D"/>
    <w:rsid w:val="6D6F6D96"/>
    <w:rsid w:val="6EE058B2"/>
    <w:rsid w:val="6EE90D5D"/>
    <w:rsid w:val="6EF2535F"/>
    <w:rsid w:val="704F71E5"/>
    <w:rsid w:val="72161365"/>
    <w:rsid w:val="7270316B"/>
    <w:rsid w:val="72F92D5E"/>
    <w:rsid w:val="7546187A"/>
    <w:rsid w:val="75FF76C8"/>
    <w:rsid w:val="77036AC8"/>
    <w:rsid w:val="79872B48"/>
    <w:rsid w:val="7A6318EE"/>
    <w:rsid w:val="7AC93D5A"/>
    <w:rsid w:val="7AD64BB1"/>
    <w:rsid w:val="7F0231A2"/>
    <w:rsid w:val="7F3C5463"/>
    <w:rsid w:val="7F497305"/>
    <w:rsid w:val="7F912972"/>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Lines="0" w:beforeAutospacing="0" w:afterLines="0" w:afterAutospacing="0" w:line="560" w:lineRule="exact"/>
      <w:ind w:firstLine="720" w:firstLineChars="200"/>
      <w:outlineLvl w:val="2"/>
    </w:pPr>
    <w:rPr>
      <w:rFonts w:ascii="Times New Roman" w:hAnsi="Times New Roman" w:eastAsia="楷体_GB2312"/>
      <w:b/>
      <w:sz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afterLines="0" w:afterAutospacing="0"/>
      <w:ind w:left="1440" w:leftChars="700" w:rightChars="700"/>
    </w:pPr>
  </w:style>
  <w:style w:type="paragraph" w:styleId="5">
    <w:name w:val="Body Text"/>
    <w:basedOn w:val="1"/>
    <w:next w:val="1"/>
    <w:autoRedefine/>
    <w:qFormat/>
    <w:uiPriority w:val="0"/>
    <w:pPr>
      <w:spacing w:after="120"/>
    </w:pPr>
  </w:style>
  <w:style w:type="paragraph" w:styleId="6">
    <w:name w:val="Body Text Indent"/>
    <w:basedOn w:val="1"/>
    <w:autoRedefine/>
    <w:qFormat/>
    <w:uiPriority w:val="0"/>
    <w:pPr>
      <w:spacing w:after="120"/>
      <w:ind w:left="420" w:leftChars="200"/>
    </w:pPr>
  </w:style>
  <w:style w:type="paragraph" w:styleId="7">
    <w:name w:val="Plain Text"/>
    <w:basedOn w:val="1"/>
    <w:autoRedefine/>
    <w:qFormat/>
    <w:uiPriority w:val="0"/>
    <w:rPr>
      <w:rFonts w:ascii="宋体" w:hAnsi="Courier New"/>
      <w:szCs w:val="20"/>
    </w:rPr>
  </w:style>
  <w:style w:type="paragraph" w:styleId="8">
    <w:name w:val="footer"/>
    <w:basedOn w:val="1"/>
    <w:autoRedefine/>
    <w:semiHidden/>
    <w:qFormat/>
    <w:uiPriority w:val="99"/>
    <w:pPr>
      <w:tabs>
        <w:tab w:val="center" w:pos="4153"/>
        <w:tab w:val="right" w:pos="8306"/>
      </w:tabs>
      <w:snapToGrid w:val="0"/>
      <w:jc w:val="left"/>
    </w:pPr>
    <w:rPr>
      <w:sz w:val="18"/>
      <w:szCs w:val="18"/>
    </w:rPr>
  </w:style>
  <w:style w:type="paragraph" w:styleId="9">
    <w:name w:val="header"/>
    <w:basedOn w:val="1"/>
    <w:next w:val="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5"/>
    <w:qFormat/>
    <w:uiPriority w:val="0"/>
    <w:pPr>
      <w:ind w:firstLine="420" w:firstLineChars="100"/>
    </w:pPr>
  </w:style>
  <w:style w:type="paragraph" w:styleId="12">
    <w:name w:val="Body Text First Indent 2"/>
    <w:basedOn w:val="6"/>
    <w:next w:val="1"/>
    <w:qFormat/>
    <w:uiPriority w:val="0"/>
    <w:pPr>
      <w:ind w:firstLine="640" w:firstLineChars="200"/>
    </w:pPr>
  </w:style>
  <w:style w:type="table" w:styleId="14">
    <w:name w:val="Table Grid"/>
    <w:basedOn w:val="13"/>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标题 5（有编号）（绿盟科技）"/>
    <w:basedOn w:val="1"/>
    <w:next w:val="19"/>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19">
    <w:name w:val="正文（绿盟科技）"/>
    <w:qFormat/>
    <w:uiPriority w:val="99"/>
    <w:pPr>
      <w:spacing w:line="300" w:lineRule="auto"/>
    </w:pPr>
    <w:rPr>
      <w:rFonts w:ascii="Arial" w:hAnsi="Arial" w:eastAsia="宋体" w:cs="Arial"/>
      <w:sz w:val="21"/>
      <w:szCs w:val="21"/>
      <w:lang w:val="en-US" w:eastAsia="zh-CN" w:bidi="ar-SA"/>
    </w:rPr>
  </w:style>
  <w:style w:type="paragraph" w:styleId="20">
    <w:name w:val="Quote"/>
    <w:next w:val="1"/>
    <w:autoRedefine/>
    <w:qFormat/>
    <w:uiPriority w:val="0"/>
    <w:rPr>
      <w:rFonts w:ascii="Times New Roman" w:hAnsi="Times New Roman" w:eastAsia="宋体" w:cs="Times New Roman"/>
      <w:i/>
      <w:iCs/>
      <w:color w:val="000000"/>
      <w:sz w:val="21"/>
      <w:lang w:val="en-US" w:eastAsia="zh-CN" w:bidi="ar-SA"/>
    </w:rPr>
  </w:style>
  <w:style w:type="paragraph" w:customStyle="1" w:styleId="21">
    <w:name w:val="列出段落1"/>
    <w:basedOn w:val="1"/>
    <w:autoRedefine/>
    <w:qFormat/>
    <w:uiPriority w:val="99"/>
    <w:pPr>
      <w:ind w:firstLine="420" w:firstLineChars="200"/>
    </w:pPr>
  </w:style>
  <w:style w:type="paragraph" w:customStyle="1" w:styleId="22">
    <w:name w:val="正文缩进1"/>
    <w:basedOn w:val="1"/>
    <w:autoRedefine/>
    <w:qFormat/>
    <w:uiPriority w:val="99"/>
    <w:pPr>
      <w:ind w:firstLine="420"/>
    </w:pPr>
    <w:rPr>
      <w:rFonts w:ascii="Times New Roman" w:hAnsi="Times New Roman"/>
      <w:szCs w:val="24"/>
    </w:rPr>
  </w:style>
  <w:style w:type="character" w:customStyle="1" w:styleId="23">
    <w:name w:val="font71"/>
    <w:basedOn w:val="15"/>
    <w:autoRedefine/>
    <w:qFormat/>
    <w:uiPriority w:val="0"/>
    <w:rPr>
      <w:rFonts w:hint="eastAsia" w:ascii="方正仿宋简体" w:hAnsi="方正仿宋简体" w:eastAsia="方正仿宋简体" w:cs="方正仿宋简体"/>
      <w:b/>
      <w:bCs/>
      <w:color w:val="000000"/>
      <w:sz w:val="20"/>
      <w:szCs w:val="20"/>
      <w:u w:val="none"/>
    </w:rPr>
  </w:style>
  <w:style w:type="character" w:customStyle="1" w:styleId="24">
    <w:name w:val="_Style 18"/>
    <w:autoRedefine/>
    <w:qFormat/>
    <w:uiPriority w:val="21"/>
    <w:rPr>
      <w:b/>
      <w:bCs/>
      <w:i/>
      <w:iCs/>
      <w:color w:val="4F81BD"/>
    </w:rPr>
  </w:style>
  <w:style w:type="paragraph" w:customStyle="1" w:styleId="25">
    <w:name w:val="列出段落2"/>
    <w:basedOn w:val="1"/>
    <w:autoRedefine/>
    <w:unhideWhenUsed/>
    <w:qFormat/>
    <w:lock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1133</Words>
  <Characters>1149</Characters>
  <Lines>0</Lines>
  <Paragraphs>0</Paragraphs>
  <TotalTime>0</TotalTime>
  <ScaleCrop>false</ScaleCrop>
  <LinksUpToDate>false</LinksUpToDate>
  <CharactersWithSpaces>1204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2023-05-12T03:41:00Z</dcterms:created>
  <dc:creator>Y.</dc:creator>
  <cp:lastModifiedBy>傀儡</cp:lastModifiedBy>
  <cp:lastPrinted>2024-07-18T01:25:00Z</cp:lastPrinted>
  <dcterms:modified xsi:type="dcterms:W3CDTF">2026-03-09T07:37:24Z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278FB751F66149C88785081AA3750442_13</vt:lpwstr>
  </property>
  <property fmtid="{D5CDD505-2E9C-101B-9397-08002B2CF9AE}" pid="4" name="KSOTemplateDocerSaveRecord">
    <vt:lpwstr>eyJoZGlkIjoiYzgzMzM3MDdmNDQ2M2UwMDc3MzA0YzY0OWUwMGE0MzYiLCJ1c2VySWQiOiI1MTg2MTYyNjkifQ==</vt:lpwstr>
  </property>
</Properties>
</file>