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286D">
      <w:pPr>
        <w:adjustRightInd w:val="0"/>
        <w:spacing w:line="360" w:lineRule="auto"/>
        <w:jc w:val="both"/>
        <w:rPr>
          <w:rFonts w:hint="eastAsia" w:ascii="方正黑体简体" w:hAnsi="方正黑体简体" w:eastAsia="方正黑体简体" w:cs="方正黑体简体"/>
          <w:sz w:val="32"/>
          <w:szCs w:val="22"/>
          <w:lang w:val="en-US" w:eastAsia="zh-CN"/>
        </w:rPr>
      </w:pPr>
      <w:r>
        <w:rPr>
          <w:rFonts w:hint="eastAsia" w:ascii="方正黑体简体" w:hAnsi="方正黑体简体" w:eastAsia="方正黑体简体" w:cs="方正黑体简体"/>
          <w:sz w:val="32"/>
          <w:szCs w:val="22"/>
          <w:lang w:val="en-US" w:eastAsia="zh-CN"/>
        </w:rPr>
        <w:t>附件3</w:t>
      </w:r>
    </w:p>
    <w:p w14:paraId="190910FD">
      <w:pPr>
        <w:spacing w:line="520" w:lineRule="exact"/>
        <w:jc w:val="center"/>
        <w:rPr>
          <w:rFonts w:ascii="宋体" w:hAnsi="宋体" w:eastAsia="宋体" w:cs="宋体"/>
          <w:b/>
          <w:bCs/>
          <w:sz w:val="36"/>
          <w:szCs w:val="36"/>
        </w:rPr>
      </w:pPr>
      <w:r>
        <w:rPr>
          <w:rFonts w:hint="eastAsia" w:ascii="宋体" w:hAnsi="宋体" w:eastAsia="宋体" w:cs="宋体"/>
          <w:b/>
          <w:bCs/>
          <w:sz w:val="36"/>
          <w:szCs w:val="36"/>
        </w:rPr>
        <w:t>广汉兴鑫水务有限责任公司</w:t>
      </w:r>
    </w:p>
    <w:p w14:paraId="338AC769">
      <w:pPr>
        <w:spacing w:line="5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采购第二污水处理厂提升泵站行车项目</w:t>
      </w:r>
    </w:p>
    <w:p w14:paraId="245FE299">
      <w:pPr>
        <w:spacing w:line="52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采购合同</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以实际签订为准</w:t>
      </w:r>
      <w:r>
        <w:rPr>
          <w:rFonts w:hint="eastAsia" w:ascii="宋体" w:hAnsi="宋体" w:eastAsia="宋体" w:cs="宋体"/>
          <w:b/>
          <w:bCs/>
          <w:sz w:val="36"/>
          <w:szCs w:val="36"/>
          <w:lang w:eastAsia="zh-CN"/>
        </w:rPr>
        <w:t>）</w:t>
      </w:r>
    </w:p>
    <w:p w14:paraId="7CF25129">
      <w:pPr>
        <w:spacing w:line="520" w:lineRule="exact"/>
        <w:rPr>
          <w:rFonts w:ascii="宋体" w:hAnsi="宋体" w:cs="宋体"/>
          <w:sz w:val="28"/>
          <w:szCs w:val="28"/>
        </w:rPr>
      </w:pPr>
    </w:p>
    <w:p w14:paraId="38D95730">
      <w:pPr>
        <w:spacing w:line="520" w:lineRule="exact"/>
        <w:rPr>
          <w:rFonts w:ascii="宋体" w:hAnsi="宋体" w:cs="宋体"/>
          <w:sz w:val="28"/>
          <w:szCs w:val="28"/>
        </w:rPr>
      </w:pPr>
    </w:p>
    <w:p w14:paraId="4294CA56">
      <w:pPr>
        <w:spacing w:line="520" w:lineRule="exact"/>
        <w:rPr>
          <w:rFonts w:ascii="宋体" w:hAnsi="宋体" w:cs="宋体"/>
          <w:sz w:val="28"/>
          <w:szCs w:val="28"/>
        </w:rPr>
      </w:pPr>
    </w:p>
    <w:p w14:paraId="1A8C621D">
      <w:pPr>
        <w:spacing w:line="520" w:lineRule="exact"/>
        <w:rPr>
          <w:rFonts w:ascii="宋体" w:hAnsi="宋体" w:cs="宋体"/>
          <w:sz w:val="28"/>
          <w:szCs w:val="28"/>
        </w:rPr>
      </w:pPr>
    </w:p>
    <w:p w14:paraId="75B56039">
      <w:pPr>
        <w:spacing w:line="520" w:lineRule="exact"/>
        <w:rPr>
          <w:rFonts w:ascii="宋体" w:hAnsi="宋体" w:cs="宋体"/>
          <w:sz w:val="28"/>
          <w:szCs w:val="28"/>
        </w:rPr>
      </w:pPr>
    </w:p>
    <w:p w14:paraId="27563E7B">
      <w:pPr>
        <w:spacing w:line="520" w:lineRule="exact"/>
        <w:rPr>
          <w:rFonts w:ascii="宋体" w:hAnsi="宋体" w:cs="宋体"/>
          <w:sz w:val="28"/>
          <w:szCs w:val="28"/>
        </w:rPr>
      </w:pPr>
    </w:p>
    <w:p w14:paraId="37D286A3">
      <w:pPr>
        <w:spacing w:line="520" w:lineRule="exact"/>
        <w:rPr>
          <w:rFonts w:ascii="宋体" w:hAnsi="宋体" w:cs="宋体"/>
          <w:sz w:val="28"/>
          <w:szCs w:val="28"/>
        </w:rPr>
      </w:pPr>
    </w:p>
    <w:p w14:paraId="4D186EA6">
      <w:pPr>
        <w:spacing w:line="520" w:lineRule="exact"/>
        <w:rPr>
          <w:rFonts w:ascii="宋体" w:hAnsi="宋体" w:cs="宋体"/>
          <w:sz w:val="28"/>
          <w:szCs w:val="28"/>
        </w:rPr>
      </w:pPr>
      <w:r>
        <w:rPr>
          <w:rFonts w:hint="eastAsia" w:ascii="宋体" w:hAnsi="宋体" w:cs="宋体"/>
          <w:sz w:val="28"/>
          <w:szCs w:val="28"/>
        </w:rPr>
        <w:t xml:space="preserve">甲方（买方）：广汉兴鑫水务有限责任公司     </w:t>
      </w:r>
    </w:p>
    <w:p w14:paraId="1AA24AED">
      <w:pPr>
        <w:spacing w:line="520" w:lineRule="exact"/>
        <w:rPr>
          <w:rFonts w:ascii="宋体" w:hAnsi="宋体" w:cs="宋体"/>
          <w:sz w:val="28"/>
          <w:szCs w:val="28"/>
        </w:rPr>
      </w:pPr>
    </w:p>
    <w:p w14:paraId="66FA5F5E">
      <w:pPr>
        <w:spacing w:line="520" w:lineRule="exact"/>
        <w:rPr>
          <w:rFonts w:ascii="宋体" w:hAnsi="宋体" w:cs="宋体"/>
          <w:sz w:val="28"/>
          <w:szCs w:val="28"/>
        </w:rPr>
      </w:pPr>
    </w:p>
    <w:p w14:paraId="264BDC74">
      <w:pPr>
        <w:spacing w:line="520" w:lineRule="exact"/>
        <w:rPr>
          <w:rFonts w:ascii="宋体" w:hAnsi="宋体" w:cs="宋体"/>
          <w:sz w:val="28"/>
          <w:szCs w:val="28"/>
        </w:rPr>
      </w:pPr>
      <w:r>
        <w:rPr>
          <w:rFonts w:hint="eastAsia" w:ascii="宋体" w:hAnsi="宋体" w:cs="宋体"/>
          <w:sz w:val="28"/>
          <w:szCs w:val="28"/>
        </w:rPr>
        <w:t xml:space="preserve">乙方（卖方）：        </w:t>
      </w:r>
    </w:p>
    <w:p w14:paraId="5FD09D40">
      <w:pPr>
        <w:spacing w:line="520" w:lineRule="exact"/>
        <w:rPr>
          <w:rFonts w:ascii="宋体" w:hAnsi="宋体" w:cs="宋体"/>
          <w:sz w:val="28"/>
          <w:szCs w:val="28"/>
        </w:rPr>
      </w:pPr>
    </w:p>
    <w:p w14:paraId="05EA5AD9">
      <w:pPr>
        <w:spacing w:line="520" w:lineRule="exact"/>
        <w:rPr>
          <w:rFonts w:ascii="宋体" w:hAnsi="宋体" w:cs="宋体"/>
          <w:sz w:val="28"/>
          <w:szCs w:val="28"/>
        </w:rPr>
      </w:pPr>
    </w:p>
    <w:p w14:paraId="08D6469F">
      <w:pPr>
        <w:spacing w:line="520" w:lineRule="exact"/>
        <w:rPr>
          <w:rFonts w:ascii="宋体" w:hAnsi="宋体" w:cs="宋体"/>
          <w:sz w:val="28"/>
          <w:szCs w:val="28"/>
        </w:rPr>
      </w:pPr>
    </w:p>
    <w:p w14:paraId="0B9E0FAC">
      <w:pPr>
        <w:spacing w:line="520" w:lineRule="exact"/>
        <w:rPr>
          <w:rFonts w:ascii="宋体" w:hAnsi="宋体" w:cs="宋体"/>
          <w:sz w:val="28"/>
          <w:szCs w:val="28"/>
        </w:rPr>
      </w:pPr>
    </w:p>
    <w:p w14:paraId="56B0B670">
      <w:pPr>
        <w:spacing w:line="520" w:lineRule="exact"/>
        <w:rPr>
          <w:rFonts w:ascii="宋体" w:hAnsi="宋体" w:cs="宋体"/>
          <w:sz w:val="28"/>
          <w:szCs w:val="28"/>
        </w:rPr>
      </w:pPr>
    </w:p>
    <w:p w14:paraId="2DCDF8A4">
      <w:pPr>
        <w:spacing w:line="520" w:lineRule="exact"/>
        <w:rPr>
          <w:rFonts w:ascii="宋体" w:hAnsi="宋体" w:cs="宋体"/>
          <w:sz w:val="28"/>
          <w:szCs w:val="28"/>
        </w:rPr>
      </w:pPr>
    </w:p>
    <w:p w14:paraId="103AD75D">
      <w:pPr>
        <w:spacing w:line="520" w:lineRule="exact"/>
        <w:rPr>
          <w:rFonts w:ascii="宋体" w:hAnsi="宋体" w:cs="宋体"/>
          <w:sz w:val="28"/>
          <w:szCs w:val="28"/>
        </w:rPr>
      </w:pPr>
    </w:p>
    <w:p w14:paraId="4A47B039">
      <w:pPr>
        <w:spacing w:line="520" w:lineRule="exact"/>
        <w:rPr>
          <w:rFonts w:ascii="宋体" w:hAnsi="宋体" w:cs="宋体"/>
          <w:sz w:val="28"/>
          <w:szCs w:val="28"/>
        </w:rPr>
      </w:pPr>
      <w:r>
        <w:rPr>
          <w:rFonts w:hint="eastAsia" w:ascii="宋体" w:hAnsi="宋体" w:cs="宋体"/>
          <w:sz w:val="28"/>
          <w:szCs w:val="28"/>
        </w:rPr>
        <w:t>签订日期：</w:t>
      </w:r>
    </w:p>
    <w:p w14:paraId="2D6A451D">
      <w:pPr>
        <w:spacing w:line="520" w:lineRule="exact"/>
        <w:rPr>
          <w:rFonts w:ascii="宋体" w:hAnsi="宋体" w:cs="宋体"/>
          <w:sz w:val="28"/>
          <w:szCs w:val="28"/>
        </w:rPr>
      </w:pPr>
      <w:r>
        <w:rPr>
          <w:rFonts w:hint="eastAsia" w:ascii="宋体" w:hAnsi="宋体" w:cs="宋体"/>
          <w:sz w:val="28"/>
          <w:szCs w:val="28"/>
        </w:rPr>
        <w:t>签订地点：</w:t>
      </w:r>
    </w:p>
    <w:p w14:paraId="4817DF5E">
      <w:pPr>
        <w:spacing w:line="520" w:lineRule="exact"/>
        <w:ind w:firstLine="560" w:firstLineChars="200"/>
        <w:rPr>
          <w:rFonts w:ascii="宋体" w:hAnsi="宋体" w:cs="宋体"/>
          <w:sz w:val="28"/>
          <w:szCs w:val="28"/>
        </w:rPr>
      </w:pPr>
      <w:r>
        <w:rPr>
          <w:rFonts w:hint="eastAsia" w:ascii="宋体" w:hAnsi="宋体" w:cs="宋体"/>
          <w:sz w:val="28"/>
          <w:szCs w:val="28"/>
        </w:rPr>
        <w:t>甲乙双方经过平等协商，在真实、充分表达各自意愿的基础上，根据《中华人民共和国民法典》及有关法律法规、规章的规定，就甲方向乙方购买以下货物，签订本合同。</w:t>
      </w:r>
    </w:p>
    <w:p w14:paraId="657976BA">
      <w:pPr>
        <w:spacing w:line="520" w:lineRule="exact"/>
        <w:rPr>
          <w:rFonts w:ascii="宋体" w:hAnsi="宋体" w:cs="宋体"/>
          <w:b/>
          <w:bCs/>
          <w:sz w:val="28"/>
          <w:szCs w:val="28"/>
        </w:rPr>
      </w:pPr>
      <w:r>
        <w:rPr>
          <w:rFonts w:hint="eastAsia" w:ascii="宋体" w:hAnsi="宋体" w:cs="宋体"/>
          <w:sz w:val="28"/>
          <w:szCs w:val="28"/>
        </w:rPr>
        <w:t>一、采购内容：</w:t>
      </w:r>
    </w:p>
    <w:tbl>
      <w:tblPr>
        <w:tblStyle w:val="14"/>
        <w:tblW w:w="5352" w:type="pct"/>
        <w:tblInd w:w="-355" w:type="dxa"/>
        <w:tblLayout w:type="fixed"/>
        <w:tblCellMar>
          <w:top w:w="0" w:type="dxa"/>
          <w:left w:w="108" w:type="dxa"/>
          <w:bottom w:w="0" w:type="dxa"/>
          <w:right w:w="108" w:type="dxa"/>
        </w:tblCellMar>
      </w:tblPr>
      <w:tblGrid>
        <w:gridCol w:w="1002"/>
        <w:gridCol w:w="1683"/>
        <w:gridCol w:w="2102"/>
        <w:gridCol w:w="906"/>
        <w:gridCol w:w="1161"/>
        <w:gridCol w:w="1476"/>
        <w:gridCol w:w="1249"/>
      </w:tblGrid>
      <w:tr w14:paraId="1D0D6415">
        <w:tblPrEx>
          <w:tblCellMar>
            <w:top w:w="0" w:type="dxa"/>
            <w:left w:w="108" w:type="dxa"/>
            <w:bottom w:w="0" w:type="dxa"/>
            <w:right w:w="108" w:type="dxa"/>
          </w:tblCellMar>
        </w:tblPrEx>
        <w:trPr>
          <w:trHeight w:val="856" w:hRule="atLeast"/>
        </w:trPr>
        <w:tc>
          <w:tcPr>
            <w:tcW w:w="523" w:type="pct"/>
            <w:tcBorders>
              <w:top w:val="single" w:color="auto" w:sz="4" w:space="0"/>
              <w:left w:val="single" w:color="000000" w:sz="4" w:space="0"/>
              <w:bottom w:val="single" w:color="000000" w:sz="4" w:space="0"/>
              <w:right w:val="single" w:color="000000" w:sz="4" w:space="0"/>
            </w:tcBorders>
            <w:noWrap/>
            <w:vAlign w:val="center"/>
          </w:tcPr>
          <w:p w14:paraId="29050161">
            <w:pPr>
              <w:widowControl/>
              <w:jc w:val="center"/>
              <w:textAlignment w:val="center"/>
              <w:rPr>
                <w:rFonts w:ascii="宋体" w:hAnsi="宋体" w:eastAsia="宋体" w:cs="宋体"/>
                <w:szCs w:val="21"/>
              </w:rPr>
            </w:pPr>
            <w:r>
              <w:rPr>
                <w:rFonts w:hint="eastAsia" w:ascii="宋体" w:hAnsi="宋体" w:eastAsia="宋体" w:cs="宋体"/>
                <w:szCs w:val="21"/>
              </w:rPr>
              <w:t>编号</w:t>
            </w:r>
          </w:p>
        </w:tc>
        <w:tc>
          <w:tcPr>
            <w:tcW w:w="878" w:type="pct"/>
            <w:tcBorders>
              <w:top w:val="single" w:color="auto" w:sz="4" w:space="0"/>
              <w:left w:val="single" w:color="000000" w:sz="4" w:space="0"/>
              <w:bottom w:val="single" w:color="000000" w:sz="4" w:space="0"/>
              <w:right w:val="single" w:color="000000" w:sz="4" w:space="0"/>
            </w:tcBorders>
            <w:noWrap/>
            <w:vAlign w:val="center"/>
          </w:tcPr>
          <w:p w14:paraId="165FAD40">
            <w:pPr>
              <w:widowControl/>
              <w:jc w:val="center"/>
              <w:textAlignment w:val="center"/>
              <w:rPr>
                <w:rFonts w:ascii="宋体" w:hAnsi="宋体" w:eastAsia="宋体" w:cs="宋体"/>
                <w:szCs w:val="21"/>
              </w:rPr>
            </w:pPr>
            <w:r>
              <w:rPr>
                <w:rFonts w:hint="eastAsia" w:ascii="宋体" w:hAnsi="宋体" w:eastAsia="宋体" w:cs="宋体"/>
                <w:szCs w:val="21"/>
              </w:rPr>
              <w:t>商品名称</w:t>
            </w:r>
          </w:p>
        </w:tc>
        <w:tc>
          <w:tcPr>
            <w:tcW w:w="1097" w:type="pct"/>
            <w:tcBorders>
              <w:top w:val="single" w:color="auto" w:sz="4" w:space="0"/>
              <w:left w:val="single" w:color="000000" w:sz="4" w:space="0"/>
              <w:bottom w:val="single" w:color="000000" w:sz="4" w:space="0"/>
              <w:right w:val="single" w:color="000000" w:sz="4" w:space="0"/>
            </w:tcBorders>
            <w:noWrap/>
            <w:vAlign w:val="center"/>
          </w:tcPr>
          <w:p w14:paraId="527325AD">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1078" w:type="pct"/>
            <w:gridSpan w:val="2"/>
            <w:tcBorders>
              <w:top w:val="single" w:color="auto" w:sz="4" w:space="0"/>
              <w:left w:val="single" w:color="000000" w:sz="4" w:space="0"/>
              <w:bottom w:val="single" w:color="000000" w:sz="4" w:space="0"/>
              <w:right w:val="single" w:color="000000" w:sz="4" w:space="0"/>
            </w:tcBorders>
            <w:noWrap/>
            <w:vAlign w:val="center"/>
          </w:tcPr>
          <w:p w14:paraId="67E2395F">
            <w:pPr>
              <w:widowControl/>
              <w:jc w:val="center"/>
              <w:textAlignment w:val="center"/>
              <w:rPr>
                <w:rFonts w:ascii="宋体" w:hAnsi="宋体" w:eastAsia="宋体" w:cs="宋体"/>
                <w:szCs w:val="21"/>
              </w:rPr>
            </w:pPr>
            <w:r>
              <w:rPr>
                <w:rFonts w:hint="eastAsia" w:ascii="宋体" w:hAnsi="宋体" w:eastAsia="宋体" w:cs="宋体"/>
                <w:szCs w:val="21"/>
              </w:rPr>
              <w:t>单位</w:t>
            </w:r>
          </w:p>
        </w:tc>
        <w:tc>
          <w:tcPr>
            <w:tcW w:w="770" w:type="pct"/>
            <w:tcBorders>
              <w:top w:val="single" w:color="auto" w:sz="4" w:space="0"/>
              <w:left w:val="single" w:color="000000" w:sz="4" w:space="0"/>
              <w:bottom w:val="single" w:color="000000" w:sz="4" w:space="0"/>
              <w:right w:val="single" w:color="000000" w:sz="4" w:space="0"/>
            </w:tcBorders>
            <w:noWrap/>
            <w:vAlign w:val="center"/>
          </w:tcPr>
          <w:p w14:paraId="498BB882">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单价</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651" w:type="pct"/>
            <w:tcBorders>
              <w:top w:val="single" w:color="auto" w:sz="4" w:space="0"/>
              <w:left w:val="single" w:color="000000" w:sz="4" w:space="0"/>
              <w:bottom w:val="single" w:color="000000" w:sz="4" w:space="0"/>
              <w:right w:val="single" w:color="000000" w:sz="4" w:space="0"/>
            </w:tcBorders>
            <w:noWrap/>
            <w:vAlign w:val="center"/>
          </w:tcPr>
          <w:p w14:paraId="5FA98CB4">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r>
      <w:tr w14:paraId="2918776F">
        <w:tblPrEx>
          <w:tblCellMar>
            <w:top w:w="0" w:type="dxa"/>
            <w:left w:w="108" w:type="dxa"/>
            <w:bottom w:w="0" w:type="dxa"/>
            <w:right w:w="108" w:type="dxa"/>
          </w:tblCellMar>
        </w:tblPrEx>
        <w:trPr>
          <w:trHeight w:val="447"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04D0A02A">
            <w:pPr>
              <w:widowControl/>
              <w:jc w:val="center"/>
              <w:textAlignment w:val="center"/>
              <w:rPr>
                <w:rFonts w:hint="eastAsia" w:ascii="宋体" w:hAnsi="宋体" w:eastAsia="宋体" w:cs="宋体"/>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5FE49F1C">
            <w:pPr>
              <w:widowControl/>
              <w:jc w:val="center"/>
              <w:textAlignment w:val="center"/>
              <w:rPr>
                <w:rFonts w:hint="default" w:ascii="宋体" w:hAnsi="宋体" w:eastAsia="宋体" w:cs="宋体"/>
                <w:szCs w:val="21"/>
                <w:lang w:val="en-US" w:eastAsia="zh-CN"/>
              </w:rPr>
            </w:pPr>
          </w:p>
        </w:tc>
        <w:tc>
          <w:tcPr>
            <w:tcW w:w="1097" w:type="pct"/>
            <w:tcBorders>
              <w:top w:val="single" w:color="000000" w:sz="4" w:space="0"/>
              <w:left w:val="single" w:color="000000" w:sz="4" w:space="0"/>
              <w:bottom w:val="single" w:color="000000" w:sz="4" w:space="0"/>
              <w:right w:val="single" w:color="000000" w:sz="4" w:space="0"/>
            </w:tcBorders>
            <w:noWrap/>
            <w:vAlign w:val="center"/>
          </w:tcPr>
          <w:p w14:paraId="4DC1C557">
            <w:pPr>
              <w:widowControl/>
              <w:jc w:val="center"/>
              <w:textAlignment w:val="center"/>
              <w:rPr>
                <w:rFonts w:hint="default" w:ascii="宋体" w:hAnsi="宋体" w:eastAsia="宋体" w:cs="宋体"/>
                <w:szCs w:val="21"/>
                <w:lang w:val="en-US" w:eastAsia="zh-CN"/>
              </w:rPr>
            </w:pPr>
          </w:p>
        </w:tc>
        <w:tc>
          <w:tcPr>
            <w:tcW w:w="1078" w:type="pct"/>
            <w:gridSpan w:val="2"/>
            <w:tcBorders>
              <w:top w:val="single" w:color="000000" w:sz="4" w:space="0"/>
              <w:left w:val="single" w:color="000000" w:sz="4" w:space="0"/>
              <w:bottom w:val="single" w:color="000000" w:sz="4" w:space="0"/>
              <w:right w:val="single" w:color="000000" w:sz="4" w:space="0"/>
            </w:tcBorders>
            <w:noWrap/>
            <w:vAlign w:val="center"/>
          </w:tcPr>
          <w:p w14:paraId="4FD50103">
            <w:pPr>
              <w:widowControl/>
              <w:jc w:val="center"/>
              <w:textAlignment w:val="center"/>
              <w:rPr>
                <w:rFonts w:hint="default" w:ascii="宋体" w:hAnsi="宋体" w:eastAsia="宋体" w:cs="宋体"/>
                <w:szCs w:val="21"/>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14:paraId="67460C93">
            <w:pPr>
              <w:widowControl/>
              <w:jc w:val="center"/>
              <w:textAlignment w:val="center"/>
              <w:rPr>
                <w:rFonts w:hint="default" w:ascii="宋体" w:hAnsi="宋体" w:eastAsia="宋体" w:cs="宋体"/>
                <w:szCs w:val="21"/>
                <w:lang w:val="en-US" w:eastAsia="zh-CN"/>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A66117B">
            <w:pPr>
              <w:widowControl/>
              <w:jc w:val="center"/>
              <w:textAlignment w:val="center"/>
              <w:rPr>
                <w:rFonts w:hint="default" w:ascii="宋体" w:hAnsi="宋体" w:eastAsia="宋体" w:cs="宋体"/>
                <w:szCs w:val="21"/>
                <w:lang w:val="en-US" w:eastAsia="zh-CN"/>
              </w:rPr>
            </w:pPr>
          </w:p>
        </w:tc>
      </w:tr>
      <w:tr w14:paraId="08AAB264">
        <w:tblPrEx>
          <w:tblCellMar>
            <w:top w:w="0" w:type="dxa"/>
            <w:left w:w="108" w:type="dxa"/>
            <w:bottom w:w="0" w:type="dxa"/>
            <w:right w:w="108" w:type="dxa"/>
          </w:tblCellMar>
        </w:tblPrEx>
        <w:trPr>
          <w:trHeight w:val="624" w:hRule="atLeast"/>
        </w:trPr>
        <w:tc>
          <w:tcPr>
            <w:tcW w:w="140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5073B02D">
            <w:pPr>
              <w:widowControl/>
              <w:jc w:val="center"/>
              <w:textAlignment w:val="center"/>
              <w:rPr>
                <w:rFonts w:ascii="宋体" w:hAnsi="宋体" w:eastAsia="宋体" w:cs="宋体"/>
                <w:szCs w:val="21"/>
              </w:rPr>
            </w:pPr>
            <w:r>
              <w:rPr>
                <w:rFonts w:hint="eastAsia" w:ascii="宋体" w:hAnsi="宋体" w:eastAsia="宋体" w:cs="宋体"/>
                <w:szCs w:val="21"/>
              </w:rPr>
              <w:t>合计金额（大写）</w:t>
            </w:r>
          </w:p>
        </w:tc>
        <w:tc>
          <w:tcPr>
            <w:tcW w:w="1570"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7105C4DB">
            <w:pPr>
              <w:widowControl/>
              <w:jc w:val="center"/>
              <w:textAlignment w:val="center"/>
              <w:rPr>
                <w:rFonts w:hint="default" w:ascii="宋体" w:hAnsi="宋体" w:eastAsia="宋体" w:cs="宋体"/>
                <w:szCs w:val="21"/>
                <w:lang w:val="en-US" w:eastAsia="zh-CN"/>
              </w:rPr>
            </w:pP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14:paraId="102FEDEA">
            <w:pPr>
              <w:widowControl/>
              <w:jc w:val="center"/>
              <w:textAlignment w:val="center"/>
              <w:rPr>
                <w:rFonts w:ascii="宋体" w:hAnsi="宋体" w:eastAsia="宋体" w:cs="宋体"/>
                <w:szCs w:val="21"/>
              </w:rPr>
            </w:pPr>
            <w:r>
              <w:rPr>
                <w:rFonts w:hint="eastAsia" w:ascii="宋体" w:hAnsi="宋体" w:eastAsia="宋体" w:cs="宋体"/>
                <w:szCs w:val="21"/>
              </w:rPr>
              <w:t>合计</w:t>
            </w:r>
          </w:p>
        </w:tc>
        <w:tc>
          <w:tcPr>
            <w:tcW w:w="142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F9B3F79">
            <w:pPr>
              <w:widowControl/>
              <w:jc w:val="center"/>
              <w:textAlignment w:val="center"/>
              <w:rPr>
                <w:rFonts w:hint="default" w:ascii="宋体" w:hAnsi="宋体" w:eastAsia="宋体" w:cs="宋体"/>
                <w:szCs w:val="21"/>
                <w:lang w:val="en-US" w:eastAsia="zh-CN"/>
              </w:rPr>
            </w:pPr>
          </w:p>
        </w:tc>
      </w:tr>
      <w:tr w14:paraId="53027ECC">
        <w:tblPrEx>
          <w:tblCellMar>
            <w:top w:w="0" w:type="dxa"/>
            <w:left w:w="108" w:type="dxa"/>
            <w:bottom w:w="0" w:type="dxa"/>
            <w:right w:w="108" w:type="dxa"/>
          </w:tblCellMar>
        </w:tblPrEx>
        <w:trPr>
          <w:trHeight w:val="624" w:hRule="atLeast"/>
        </w:trPr>
        <w:tc>
          <w:tcPr>
            <w:tcW w:w="140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5A69CE">
            <w:pPr>
              <w:jc w:val="center"/>
              <w:rPr>
                <w:rFonts w:ascii="宋体" w:hAnsi="宋体" w:eastAsia="宋体" w:cs="宋体"/>
                <w:szCs w:val="21"/>
              </w:rPr>
            </w:pPr>
          </w:p>
        </w:tc>
        <w:tc>
          <w:tcPr>
            <w:tcW w:w="157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C98890">
            <w:pPr>
              <w:jc w:val="center"/>
              <w:rPr>
                <w:rFonts w:ascii="宋体" w:hAnsi="宋体" w:eastAsia="宋体" w:cs="宋体"/>
                <w:szCs w:val="21"/>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14:paraId="08331CF1">
            <w:pPr>
              <w:jc w:val="center"/>
              <w:rPr>
                <w:rFonts w:ascii="宋体" w:hAnsi="宋体" w:eastAsia="宋体" w:cs="宋体"/>
                <w:szCs w:val="21"/>
              </w:rPr>
            </w:pPr>
          </w:p>
        </w:tc>
        <w:tc>
          <w:tcPr>
            <w:tcW w:w="142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EC12F6">
            <w:pPr>
              <w:jc w:val="center"/>
              <w:rPr>
                <w:rFonts w:ascii="宋体" w:hAnsi="宋体" w:eastAsia="宋体" w:cs="宋体"/>
                <w:szCs w:val="21"/>
              </w:rPr>
            </w:pPr>
          </w:p>
        </w:tc>
      </w:tr>
    </w:tbl>
    <w:p w14:paraId="656FFB20">
      <w:pPr>
        <w:pStyle w:val="20"/>
        <w:spacing w:line="520" w:lineRule="exact"/>
        <w:ind w:firstLine="548" w:firstLineChars="196"/>
        <w:rPr>
          <w:rFonts w:ascii="宋体" w:hAnsi="宋体" w:cs="宋体"/>
          <w:sz w:val="28"/>
          <w:szCs w:val="28"/>
        </w:rPr>
      </w:pPr>
      <w:r>
        <w:rPr>
          <w:rFonts w:hint="eastAsia" w:ascii="宋体" w:hAnsi="宋体" w:cs="宋体"/>
          <w:sz w:val="28"/>
          <w:szCs w:val="28"/>
        </w:rPr>
        <w:t>1、合同金额包含货物价格、包装费、物流费、</w:t>
      </w:r>
      <w:r>
        <w:rPr>
          <w:rFonts w:hint="eastAsia" w:ascii="宋体" w:hAnsi="宋体" w:cs="宋体"/>
          <w:sz w:val="28"/>
          <w:szCs w:val="28"/>
          <w:lang w:val="en-US" w:eastAsia="zh-CN"/>
        </w:rPr>
        <w:t>拆卸费、</w:t>
      </w:r>
      <w:r>
        <w:rPr>
          <w:rFonts w:hint="eastAsia" w:ascii="宋体" w:hAnsi="宋体" w:cs="宋体"/>
          <w:sz w:val="28"/>
          <w:szCs w:val="28"/>
        </w:rPr>
        <w:t>安装费、调试</w:t>
      </w:r>
      <w:r>
        <w:rPr>
          <w:rFonts w:hint="eastAsia" w:ascii="宋体" w:hAnsi="宋体" w:cs="宋体"/>
          <w:sz w:val="28"/>
          <w:szCs w:val="28"/>
          <w:lang w:eastAsia="zh-CN"/>
        </w:rPr>
        <w:t>、</w:t>
      </w:r>
      <w:r>
        <w:rPr>
          <w:rFonts w:hint="eastAsia" w:ascii="宋体" w:hAnsi="宋体" w:cs="宋体"/>
          <w:sz w:val="28"/>
          <w:szCs w:val="28"/>
          <w:lang w:val="en-US" w:eastAsia="zh-CN"/>
        </w:rPr>
        <w:t>税金</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1F54AFEE">
      <w:pPr>
        <w:pStyle w:val="20"/>
        <w:spacing w:line="520" w:lineRule="exact"/>
        <w:ind w:firstLine="560"/>
        <w:rPr>
          <w:rFonts w:ascii="宋体" w:hAnsi="宋体" w:cs="宋体"/>
          <w:sz w:val="28"/>
          <w:szCs w:val="28"/>
        </w:rPr>
      </w:pPr>
      <w:r>
        <w:rPr>
          <w:rFonts w:hint="eastAsia" w:ascii="宋体" w:hAnsi="宋体" w:cs="宋体"/>
          <w:sz w:val="28"/>
          <w:szCs w:val="28"/>
        </w:rPr>
        <w:t>2、货物的质量标准，按照国家标准执行。</w:t>
      </w:r>
    </w:p>
    <w:p w14:paraId="69E22BA3">
      <w:pPr>
        <w:pStyle w:val="20"/>
        <w:spacing w:line="520" w:lineRule="exact"/>
        <w:ind w:firstLine="560"/>
        <w:rPr>
          <w:rFonts w:ascii="宋体" w:hAnsi="宋体" w:cs="宋体"/>
          <w:sz w:val="28"/>
          <w:szCs w:val="28"/>
        </w:rPr>
      </w:pPr>
      <w:r>
        <w:rPr>
          <w:rFonts w:hint="eastAsia" w:ascii="宋体" w:hAnsi="宋体" w:cs="宋体"/>
          <w:sz w:val="28"/>
          <w:szCs w:val="28"/>
        </w:rPr>
        <w:t>3、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26F8BD1E">
      <w:pPr>
        <w:pStyle w:val="20"/>
        <w:spacing w:line="520" w:lineRule="exact"/>
        <w:ind w:firstLine="0" w:firstLineChars="0"/>
        <w:rPr>
          <w:rFonts w:ascii="宋体" w:hAnsi="宋体" w:cs="宋体"/>
          <w:sz w:val="28"/>
          <w:szCs w:val="28"/>
        </w:rPr>
      </w:pPr>
      <w:r>
        <w:rPr>
          <w:rFonts w:hint="eastAsia" w:ascii="宋体" w:hAnsi="宋体" w:cs="宋体"/>
          <w:sz w:val="28"/>
          <w:szCs w:val="28"/>
        </w:rPr>
        <w:t>二、交货规定</w:t>
      </w:r>
    </w:p>
    <w:p w14:paraId="5D9969FB">
      <w:pPr>
        <w:pStyle w:val="20"/>
        <w:spacing w:line="520" w:lineRule="exact"/>
        <w:ind w:firstLine="560"/>
        <w:rPr>
          <w:rFonts w:ascii="宋体" w:hAnsi="宋体" w:cs="宋体"/>
          <w:sz w:val="28"/>
          <w:szCs w:val="28"/>
        </w:rPr>
      </w:pPr>
      <w:r>
        <w:rPr>
          <w:rFonts w:hint="eastAsia" w:ascii="宋体" w:hAnsi="宋体" w:cs="宋体"/>
          <w:sz w:val="28"/>
          <w:szCs w:val="28"/>
        </w:rPr>
        <w:t>1、交货方法：由乙方送货。</w:t>
      </w:r>
    </w:p>
    <w:p w14:paraId="271A13F2">
      <w:pPr>
        <w:pStyle w:val="20"/>
        <w:spacing w:line="520" w:lineRule="exact"/>
        <w:ind w:firstLine="560"/>
        <w:rPr>
          <w:rFonts w:ascii="宋体" w:hAnsi="宋体" w:cs="宋体"/>
          <w:sz w:val="28"/>
          <w:szCs w:val="28"/>
        </w:rPr>
      </w:pPr>
      <w:r>
        <w:rPr>
          <w:rFonts w:hint="eastAsia" w:ascii="宋体" w:hAnsi="宋体" w:cs="宋体"/>
          <w:sz w:val="28"/>
          <w:szCs w:val="28"/>
        </w:rPr>
        <w:t>2、运输方式：由乙方自行选择运输方式，运输及保险费用由乙方负担。货物交付给甲方前，货物相关全部风险由乙方承担。</w:t>
      </w:r>
    </w:p>
    <w:p w14:paraId="6525E772">
      <w:pPr>
        <w:pStyle w:val="20"/>
        <w:spacing w:line="520" w:lineRule="exact"/>
        <w:ind w:firstLine="560"/>
        <w:rPr>
          <w:rFonts w:ascii="宋体" w:hAnsi="宋体" w:cs="宋体"/>
          <w:sz w:val="28"/>
          <w:szCs w:val="28"/>
        </w:rPr>
      </w:pPr>
      <w:r>
        <w:rPr>
          <w:rFonts w:hint="eastAsia" w:ascii="宋体" w:hAnsi="宋体" w:cs="宋体"/>
          <w:sz w:val="28"/>
          <w:szCs w:val="28"/>
        </w:rPr>
        <w:t>3、交货地点：甲方指定地点。</w:t>
      </w:r>
    </w:p>
    <w:p w14:paraId="28435C2A">
      <w:pPr>
        <w:pStyle w:val="20"/>
        <w:spacing w:line="520" w:lineRule="exact"/>
        <w:ind w:firstLine="560"/>
        <w:rPr>
          <w:rFonts w:ascii="宋体" w:hAnsi="宋体" w:cs="宋体"/>
          <w:sz w:val="28"/>
          <w:szCs w:val="28"/>
        </w:rPr>
      </w:pPr>
      <w:r>
        <w:rPr>
          <w:rFonts w:hint="eastAsia" w:ascii="宋体" w:hAnsi="宋体" w:cs="宋体"/>
          <w:sz w:val="28"/>
          <w:szCs w:val="28"/>
        </w:rPr>
        <w:t>4、交货日期：供应商需在签订合同后</w:t>
      </w:r>
      <w:r>
        <w:rPr>
          <w:rFonts w:hint="eastAsia" w:ascii="宋体" w:hAnsi="宋体" w:cs="宋体"/>
          <w:sz w:val="28"/>
          <w:szCs w:val="28"/>
          <w:lang w:val="en-US" w:eastAsia="zh-CN"/>
        </w:rPr>
        <w:t>20</w:t>
      </w:r>
      <w:r>
        <w:rPr>
          <w:rFonts w:hint="eastAsia" w:ascii="宋体" w:hAnsi="宋体" w:cs="宋体"/>
          <w:sz w:val="28"/>
          <w:szCs w:val="28"/>
        </w:rPr>
        <w:t>日内</w:t>
      </w:r>
      <w:r>
        <w:rPr>
          <w:rFonts w:hint="eastAsia" w:ascii="宋体" w:hAnsi="宋体" w:cs="宋体"/>
          <w:sz w:val="28"/>
          <w:szCs w:val="28"/>
          <w:lang w:val="en-US" w:eastAsia="zh-CN"/>
        </w:rPr>
        <w:t>完成</w:t>
      </w:r>
      <w:r>
        <w:rPr>
          <w:rFonts w:hint="eastAsia" w:ascii="宋体" w:hAnsi="宋体" w:cs="宋体"/>
          <w:sz w:val="28"/>
          <w:szCs w:val="28"/>
        </w:rPr>
        <w:t>采购人所需</w:t>
      </w:r>
      <w:r>
        <w:rPr>
          <w:rFonts w:hint="eastAsia" w:ascii="宋体" w:hAnsi="宋体" w:cs="宋体"/>
          <w:sz w:val="28"/>
          <w:szCs w:val="28"/>
          <w:lang w:val="en-US" w:eastAsia="zh-CN"/>
        </w:rPr>
        <w:t>的第二污水处理厂提升泵站行车的供货及安装工作</w:t>
      </w:r>
      <w:r>
        <w:rPr>
          <w:rFonts w:hint="eastAsia" w:ascii="宋体" w:hAnsi="宋体" w:cs="宋体"/>
          <w:sz w:val="28"/>
          <w:szCs w:val="28"/>
        </w:rPr>
        <w:t>。</w:t>
      </w:r>
    </w:p>
    <w:p w14:paraId="456EEEE3">
      <w:pPr>
        <w:pStyle w:val="20"/>
        <w:spacing w:line="520" w:lineRule="exact"/>
        <w:ind w:firstLine="560"/>
        <w:rPr>
          <w:rFonts w:ascii="宋体" w:hAnsi="宋体" w:cs="宋体"/>
          <w:sz w:val="28"/>
          <w:szCs w:val="28"/>
        </w:rPr>
      </w:pPr>
      <w:r>
        <w:rPr>
          <w:rFonts w:hint="eastAsia" w:ascii="宋体" w:hAnsi="宋体" w:cs="宋体"/>
          <w:sz w:val="28"/>
          <w:szCs w:val="28"/>
        </w:rPr>
        <w:t>5、当乙方不能按时交付全部或部分货物，或者存在这种可能性时，乙方应及时将原因及预订交货日期通知甲方，并按照甲方指示，迅速制定必要的对策。</w:t>
      </w:r>
    </w:p>
    <w:p w14:paraId="5F62774D">
      <w:pPr>
        <w:pStyle w:val="20"/>
        <w:spacing w:line="520" w:lineRule="exact"/>
        <w:ind w:firstLine="0" w:firstLineChars="0"/>
        <w:rPr>
          <w:rFonts w:ascii="宋体" w:hAnsi="宋体" w:cs="宋体"/>
          <w:sz w:val="28"/>
          <w:szCs w:val="28"/>
        </w:rPr>
      </w:pPr>
      <w:r>
        <w:rPr>
          <w:rFonts w:hint="eastAsia" w:ascii="宋体" w:hAnsi="宋体" w:cs="宋体"/>
          <w:sz w:val="28"/>
          <w:szCs w:val="28"/>
        </w:rPr>
        <w:t>三、验收方法</w:t>
      </w:r>
    </w:p>
    <w:p w14:paraId="4B83CAEF">
      <w:pPr>
        <w:pStyle w:val="20"/>
        <w:spacing w:line="520" w:lineRule="exact"/>
        <w:ind w:firstLine="560"/>
        <w:rPr>
          <w:rFonts w:ascii="宋体" w:hAnsi="宋体" w:cs="宋体"/>
          <w:sz w:val="28"/>
          <w:szCs w:val="28"/>
        </w:rPr>
      </w:pPr>
      <w:r>
        <w:rPr>
          <w:rFonts w:hint="eastAsia" w:ascii="宋体" w:hAnsi="宋体" w:cs="宋体"/>
          <w:sz w:val="28"/>
          <w:szCs w:val="28"/>
        </w:rPr>
        <w:t>1、所有货物由乙方运输至交货地点后，由甲乙双方共同对货物的包装、外观、数量、商标、型号、规格及性能等进行验收</w:t>
      </w:r>
      <w:r>
        <w:rPr>
          <w:rFonts w:hint="eastAsia" w:ascii="宋体" w:hAnsi="宋体" w:cs="宋体"/>
          <w:sz w:val="28"/>
          <w:szCs w:val="28"/>
          <w:lang w:eastAsia="zh-CN"/>
        </w:rPr>
        <w:t>，</w:t>
      </w:r>
      <w:r>
        <w:rPr>
          <w:rFonts w:hint="eastAsia" w:ascii="宋体" w:hAnsi="宋体" w:cs="宋体"/>
          <w:sz w:val="28"/>
          <w:szCs w:val="28"/>
          <w:lang w:val="en-US" w:eastAsia="zh-CN"/>
        </w:rPr>
        <w:t>签署验收验收报告</w:t>
      </w:r>
      <w:r>
        <w:rPr>
          <w:rFonts w:hint="eastAsia" w:ascii="宋体" w:hAnsi="宋体" w:cs="宋体"/>
          <w:sz w:val="28"/>
          <w:szCs w:val="28"/>
        </w:rPr>
        <w:t>。如乙方未按约定参与检验的，应视为乙方对甲方单方检验的结果予以确认，由此产生的一切后果及责任由乙方承担。验收标准执行合同规定的货物质量标准。</w:t>
      </w:r>
    </w:p>
    <w:p w14:paraId="5988E65F">
      <w:pPr>
        <w:pStyle w:val="20"/>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如发现乙方交付的货物有任何不符合合同规定之处，应做好记录，并由双方代表签字，作为甲方向乙方提出退换货的依据。</w:t>
      </w:r>
    </w:p>
    <w:p w14:paraId="08C3882A">
      <w:pPr>
        <w:pStyle w:val="20"/>
        <w:spacing w:line="520" w:lineRule="exact"/>
        <w:ind w:firstLine="560"/>
        <w:rPr>
          <w:rFonts w:ascii="宋体" w:hAnsi="宋体" w:cs="宋体"/>
          <w:sz w:val="28"/>
          <w:szCs w:val="28"/>
        </w:rPr>
      </w:pPr>
      <w:r>
        <w:rPr>
          <w:rFonts w:hint="eastAsia" w:ascii="宋体" w:hAnsi="宋体" w:cs="宋体"/>
          <w:sz w:val="28"/>
          <w:szCs w:val="28"/>
          <w:lang w:val="en-US" w:eastAsia="zh-CN"/>
        </w:rPr>
        <w:t>验收</w:t>
      </w:r>
      <w:r>
        <w:rPr>
          <w:rFonts w:hint="eastAsia" w:ascii="宋体" w:hAnsi="宋体" w:cs="宋体"/>
          <w:sz w:val="28"/>
          <w:szCs w:val="28"/>
        </w:rPr>
        <w:t>报告仅证明乙方所提供的货物截至出具检验报告之日时可以按合同要求予以接受，但不能视为乙方对货物存在的潜在缺陷所应付的责任的解除。此检验不作为对货物内在质量认定的依据。</w:t>
      </w:r>
    </w:p>
    <w:p w14:paraId="17E09E9E">
      <w:pPr>
        <w:pStyle w:val="20"/>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2、乙方所提供的货物应充分满足甲方使用的要求，确保供货货物的尺寸、规格、质量符合合同规定。本合同内的货物质保期为</w:t>
      </w:r>
      <w:r>
        <w:rPr>
          <w:rFonts w:hint="eastAsia" w:ascii="宋体" w:hAnsi="宋体" w:cs="宋体"/>
          <w:sz w:val="28"/>
          <w:szCs w:val="28"/>
          <w:lang w:val="en-US" w:eastAsia="zh-CN"/>
        </w:rPr>
        <w:t>一</w:t>
      </w:r>
      <w:r>
        <w:rPr>
          <w:rFonts w:hint="eastAsia" w:ascii="宋体" w:hAnsi="宋体" w:cs="宋体"/>
          <w:sz w:val="28"/>
          <w:szCs w:val="28"/>
        </w:rPr>
        <w:t>年，自验收通过之日起算。质量保证期间如货物出现质量问题，甲方有权要求乙方退换货，乙方应在接到甲方通知后1小时内响应，并在72小时内解决相关问题，乙方逾期不响应的，甲方有权直接委托第三方进行检验，相关费用全部由乙方承担。</w:t>
      </w:r>
    </w:p>
    <w:p w14:paraId="661E1B9D">
      <w:pPr>
        <w:pStyle w:val="20"/>
        <w:spacing w:line="520" w:lineRule="exact"/>
        <w:ind w:firstLine="0" w:firstLineChars="0"/>
        <w:rPr>
          <w:rFonts w:ascii="宋体" w:hAnsi="宋体" w:cs="宋体"/>
          <w:sz w:val="28"/>
          <w:szCs w:val="28"/>
        </w:rPr>
      </w:pPr>
      <w:r>
        <w:rPr>
          <w:rFonts w:hint="eastAsia" w:ascii="宋体" w:hAnsi="宋体" w:cs="宋体"/>
          <w:sz w:val="28"/>
          <w:szCs w:val="28"/>
        </w:rPr>
        <w:t>四、付款方式</w:t>
      </w:r>
    </w:p>
    <w:p w14:paraId="75BD836D">
      <w:pPr>
        <w:pStyle w:val="20"/>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无预付款，设施安装完成正常使用</w:t>
      </w:r>
      <w:r>
        <w:rPr>
          <w:rFonts w:hint="eastAsia" w:ascii="宋体" w:hAnsi="宋体" w:cs="宋体"/>
          <w:sz w:val="28"/>
          <w:szCs w:val="28"/>
        </w:rPr>
        <w:t>5日</w:t>
      </w:r>
      <w:r>
        <w:rPr>
          <w:rFonts w:hint="eastAsia" w:ascii="宋体" w:hAnsi="宋体" w:cs="宋体"/>
          <w:sz w:val="28"/>
          <w:szCs w:val="28"/>
          <w:lang w:val="en-US" w:eastAsia="zh-CN"/>
        </w:rPr>
        <w:t>后</w:t>
      </w:r>
      <w:r>
        <w:rPr>
          <w:rFonts w:hint="eastAsia" w:ascii="宋体" w:hAnsi="宋体" w:cs="宋体"/>
          <w:sz w:val="28"/>
          <w:szCs w:val="28"/>
        </w:rPr>
        <w:t>，甲方向乙方</w:t>
      </w:r>
      <w:r>
        <w:rPr>
          <w:rFonts w:hint="eastAsia" w:ascii="宋体" w:hAnsi="宋体" w:cs="宋体"/>
          <w:sz w:val="28"/>
          <w:szCs w:val="28"/>
          <w:lang w:val="en-US" w:eastAsia="zh-CN"/>
        </w:rPr>
        <w:t>合同金额的95%，剩余5%作为质保金，在质保期满后支付（质保期一年）</w:t>
      </w:r>
      <w:r>
        <w:rPr>
          <w:rFonts w:hint="eastAsia" w:ascii="宋体" w:hAnsi="宋体" w:cs="宋体"/>
          <w:sz w:val="28"/>
          <w:szCs w:val="28"/>
        </w:rPr>
        <w:t>。甲方付款前，乙方须提供等额合格的增值税专用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4244D36A">
      <w:pPr>
        <w:pStyle w:val="20"/>
        <w:spacing w:line="520" w:lineRule="exact"/>
        <w:ind w:firstLine="560"/>
        <w:rPr>
          <w:rFonts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财务专用章。如未正确依照上述规定执行而影响相关款项的支付，由此产生的一切责任与后果由乙方自负。</w:t>
      </w:r>
    </w:p>
    <w:p w14:paraId="61864AB5">
      <w:pPr>
        <w:pStyle w:val="20"/>
        <w:spacing w:line="520" w:lineRule="exact"/>
        <w:ind w:firstLine="0" w:firstLineChars="0"/>
        <w:rPr>
          <w:rFonts w:ascii="宋体" w:hAnsi="宋体" w:cs="宋体"/>
          <w:b/>
          <w:bCs/>
          <w:sz w:val="28"/>
          <w:szCs w:val="28"/>
        </w:rPr>
      </w:pPr>
      <w:r>
        <w:rPr>
          <w:rFonts w:hint="eastAsia" w:ascii="宋体" w:hAnsi="宋体" w:cs="宋体"/>
          <w:sz w:val="28"/>
          <w:szCs w:val="28"/>
        </w:rPr>
        <w:t>五、权利侵害的防止</w:t>
      </w:r>
    </w:p>
    <w:p w14:paraId="7B901730">
      <w:pPr>
        <w:pStyle w:val="20"/>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70B3CE1A">
      <w:pPr>
        <w:pStyle w:val="20"/>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7C8DFAB8">
      <w:pPr>
        <w:pStyle w:val="20"/>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66984B0A">
      <w:pPr>
        <w:pStyle w:val="20"/>
        <w:spacing w:line="520" w:lineRule="exact"/>
        <w:ind w:firstLine="560"/>
        <w:rPr>
          <w:rFonts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30%赔偿甲方因此遭受的损失，且不能免除乙方履行本合同的义务。</w:t>
      </w:r>
    </w:p>
    <w:p w14:paraId="1D750678">
      <w:pPr>
        <w:pStyle w:val="20"/>
        <w:spacing w:line="520" w:lineRule="exact"/>
        <w:ind w:firstLine="0" w:firstLineChars="0"/>
        <w:rPr>
          <w:rFonts w:ascii="宋体" w:hAnsi="宋体" w:cs="宋体"/>
          <w:b/>
          <w:bCs/>
          <w:sz w:val="28"/>
          <w:szCs w:val="28"/>
        </w:rPr>
      </w:pPr>
      <w:r>
        <w:rPr>
          <w:rFonts w:hint="eastAsia" w:ascii="宋体" w:hAnsi="宋体" w:cs="宋体"/>
          <w:sz w:val="28"/>
          <w:szCs w:val="28"/>
        </w:rPr>
        <w:t>六、乙方责任</w:t>
      </w:r>
    </w:p>
    <w:p w14:paraId="067123E6">
      <w:pPr>
        <w:pStyle w:val="20"/>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1、乙方逾期交货的，每延期一天，乙方应当向甲方偿付延期交货部分总额2</w:t>
      </w:r>
      <w:r>
        <w:rPr>
          <w:rFonts w:ascii="宋体" w:hAnsi="宋体" w:cs="宋体"/>
          <w:sz w:val="28"/>
          <w:szCs w:val="28"/>
        </w:rPr>
        <w:t>0</w:t>
      </w:r>
      <w:r>
        <w:rPr>
          <w:rFonts w:hint="eastAsia" w:ascii="宋体" w:hAnsi="宋体" w:cs="宋体"/>
          <w:sz w:val="28"/>
          <w:szCs w:val="28"/>
        </w:rPr>
        <w:t>%的违约金，并承担甲方因此所受损失的费用。</w:t>
      </w:r>
    </w:p>
    <w:p w14:paraId="3DE57121">
      <w:pPr>
        <w:pStyle w:val="20"/>
        <w:spacing w:line="520" w:lineRule="exact"/>
        <w:ind w:firstLine="560"/>
        <w:rPr>
          <w:rFonts w:ascii="宋体" w:hAnsi="宋体" w:cs="宋体"/>
          <w:sz w:val="28"/>
          <w:szCs w:val="28"/>
        </w:rPr>
      </w:pPr>
      <w:r>
        <w:rPr>
          <w:rFonts w:hint="eastAsia" w:ascii="宋体" w:hAnsi="宋体" w:cs="宋体"/>
          <w:sz w:val="28"/>
          <w:szCs w:val="28"/>
        </w:rPr>
        <w:t>2、乙方在合同约定的交货日期届满后3天内仍不能交货的，甲方有权解除合同，且乙方应向甲方偿付不能交货部分总额2</w:t>
      </w:r>
      <w:r>
        <w:rPr>
          <w:rFonts w:ascii="宋体" w:hAnsi="宋体" w:cs="宋体"/>
          <w:sz w:val="28"/>
          <w:szCs w:val="28"/>
        </w:rPr>
        <w:t>0</w:t>
      </w:r>
      <w:r>
        <w:rPr>
          <w:rFonts w:hint="eastAsia" w:ascii="宋体" w:hAnsi="宋体" w:cs="宋体"/>
          <w:sz w:val="28"/>
          <w:szCs w:val="28"/>
        </w:rPr>
        <w:t>%的违约金。</w:t>
      </w:r>
    </w:p>
    <w:p w14:paraId="2986E2E3">
      <w:pPr>
        <w:pStyle w:val="20"/>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430BF8EC">
      <w:pPr>
        <w:pStyle w:val="20"/>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0D92F7C6">
      <w:pPr>
        <w:pStyle w:val="20"/>
        <w:spacing w:line="520" w:lineRule="exact"/>
        <w:ind w:firstLine="0" w:firstLineChars="0"/>
        <w:rPr>
          <w:rFonts w:ascii="宋体" w:hAnsi="宋体" w:cs="宋体"/>
          <w:sz w:val="28"/>
          <w:szCs w:val="28"/>
        </w:rPr>
      </w:pPr>
      <w:r>
        <w:rPr>
          <w:rFonts w:hint="eastAsia" w:ascii="宋体" w:hAnsi="宋体" w:cs="宋体"/>
          <w:sz w:val="28"/>
          <w:szCs w:val="28"/>
        </w:rPr>
        <w:t>七、甲方责任</w:t>
      </w:r>
    </w:p>
    <w:p w14:paraId="59CCDA38">
      <w:pPr>
        <w:pStyle w:val="20"/>
        <w:spacing w:line="520" w:lineRule="exact"/>
        <w:ind w:firstLine="560"/>
        <w:rPr>
          <w:rFonts w:ascii="宋体" w:hAnsi="宋体" w:cs="宋体"/>
          <w:sz w:val="28"/>
          <w:szCs w:val="28"/>
        </w:rPr>
      </w:pPr>
      <w:r>
        <w:rPr>
          <w:rFonts w:hint="eastAsia" w:ascii="宋体" w:hAnsi="宋体" w:cs="宋体"/>
          <w:sz w:val="28"/>
          <w:szCs w:val="28"/>
        </w:rPr>
        <w:t>甲方无正当理由违反合同规定拒接收货的，应当承担由此造成的损失。</w:t>
      </w:r>
    </w:p>
    <w:p w14:paraId="0BE56D80">
      <w:pPr>
        <w:pStyle w:val="20"/>
        <w:spacing w:line="520" w:lineRule="exact"/>
        <w:ind w:firstLine="0" w:firstLineChars="0"/>
        <w:rPr>
          <w:rFonts w:ascii="宋体" w:hAnsi="宋体" w:cs="宋体"/>
          <w:sz w:val="28"/>
          <w:szCs w:val="28"/>
        </w:rPr>
      </w:pPr>
      <w:r>
        <w:rPr>
          <w:rFonts w:hint="eastAsia" w:ascii="宋体" w:hAnsi="宋体" w:cs="宋体"/>
          <w:sz w:val="28"/>
          <w:szCs w:val="28"/>
        </w:rPr>
        <w:t>八、不可抗力</w:t>
      </w:r>
    </w:p>
    <w:p w14:paraId="21474DF5">
      <w:pPr>
        <w:pStyle w:val="20"/>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0ED47F2">
      <w:pPr>
        <w:pStyle w:val="20"/>
        <w:spacing w:line="520" w:lineRule="exact"/>
        <w:ind w:firstLine="560"/>
        <w:rPr>
          <w:rFonts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0EB5DF93">
      <w:pPr>
        <w:pStyle w:val="20"/>
        <w:spacing w:line="520" w:lineRule="exact"/>
        <w:ind w:firstLine="0" w:firstLineChars="0"/>
        <w:rPr>
          <w:rFonts w:ascii="宋体" w:hAnsi="宋体" w:cs="宋体"/>
          <w:sz w:val="28"/>
          <w:szCs w:val="28"/>
          <w:u w:val="single"/>
        </w:rPr>
      </w:pPr>
      <w:r>
        <w:rPr>
          <w:rFonts w:hint="eastAsia" w:ascii="宋体" w:hAnsi="宋体" w:cs="宋体"/>
          <w:sz w:val="28"/>
          <w:szCs w:val="28"/>
        </w:rPr>
        <w:t>九、特别约定：</w:t>
      </w:r>
      <w:r>
        <w:rPr>
          <w:rFonts w:hint="eastAsia" w:ascii="宋体" w:hAnsi="宋体" w:cs="宋体"/>
          <w:sz w:val="28"/>
          <w:szCs w:val="28"/>
          <w:u w:val="single"/>
        </w:rPr>
        <w:t>。</w:t>
      </w:r>
    </w:p>
    <w:p w14:paraId="0BB9B4B4">
      <w:pPr>
        <w:pStyle w:val="20"/>
        <w:spacing w:line="520" w:lineRule="exact"/>
        <w:ind w:firstLine="0" w:firstLineChars="0"/>
        <w:rPr>
          <w:rFonts w:ascii="宋体" w:hAnsi="宋体" w:cs="宋体"/>
          <w:sz w:val="28"/>
          <w:szCs w:val="28"/>
        </w:rPr>
      </w:pPr>
      <w:r>
        <w:rPr>
          <w:rFonts w:hint="eastAsia" w:ascii="宋体" w:hAnsi="宋体" w:cs="宋体"/>
          <w:sz w:val="28"/>
          <w:szCs w:val="28"/>
        </w:rPr>
        <w:t>十、合同未尽事宜由双方友好协商签订补充协议。补充协议与合同约定不一致的，以补充合同为准。</w:t>
      </w:r>
    </w:p>
    <w:p w14:paraId="099EC347">
      <w:pPr>
        <w:pStyle w:val="20"/>
        <w:spacing w:line="520" w:lineRule="exact"/>
        <w:ind w:firstLine="0" w:firstLineChars="0"/>
        <w:rPr>
          <w:rFonts w:ascii="宋体" w:hAnsi="宋体" w:cs="宋体"/>
          <w:sz w:val="28"/>
          <w:szCs w:val="28"/>
        </w:rPr>
      </w:pPr>
      <w:r>
        <w:rPr>
          <w:rFonts w:hint="eastAsia" w:ascii="宋体" w:hAnsi="宋体" w:cs="宋体"/>
          <w:sz w:val="28"/>
          <w:szCs w:val="28"/>
        </w:rPr>
        <w:t>十一、合同履行中发生争议的，由双方协商解决，协商不成的，任何一方可向甲方所在地人民法院提起诉讼。</w:t>
      </w:r>
    </w:p>
    <w:p w14:paraId="620796A5">
      <w:pPr>
        <w:pStyle w:val="20"/>
        <w:spacing w:line="520" w:lineRule="exact"/>
        <w:ind w:firstLine="0" w:firstLineChars="0"/>
        <w:rPr>
          <w:rFonts w:ascii="宋体" w:hAnsi="宋体" w:cs="宋体"/>
          <w:sz w:val="28"/>
          <w:szCs w:val="28"/>
        </w:rPr>
      </w:pPr>
      <w:r>
        <w:rPr>
          <w:rFonts w:hint="eastAsia" w:ascii="宋体" w:hAnsi="宋体" w:cs="宋体"/>
          <w:sz w:val="28"/>
          <w:szCs w:val="28"/>
        </w:rPr>
        <w:t>十二、本合同经甲乙双方签字并加盖公章后生效。合同一式伍份，甲执叁份，乙方执贰份，具有同等法律效力。</w:t>
      </w:r>
    </w:p>
    <w:p w14:paraId="65D37D5C">
      <w:pPr>
        <w:pStyle w:val="20"/>
        <w:spacing w:line="520" w:lineRule="exact"/>
        <w:ind w:left="420" w:firstLine="0" w:firstLineChars="0"/>
        <w:rPr>
          <w:rFonts w:ascii="宋体" w:hAnsi="宋体" w:cs="宋体"/>
          <w:sz w:val="28"/>
          <w:szCs w:val="28"/>
        </w:rPr>
      </w:pPr>
    </w:p>
    <w:p w14:paraId="66924576">
      <w:pPr>
        <w:pStyle w:val="20"/>
        <w:spacing w:line="520" w:lineRule="exact"/>
        <w:ind w:firstLineChars="0"/>
        <w:rPr>
          <w:rFonts w:ascii="宋体" w:hAnsi="宋体" w:cs="宋体"/>
          <w:sz w:val="28"/>
          <w:szCs w:val="28"/>
        </w:rPr>
      </w:pPr>
    </w:p>
    <w:p w14:paraId="00FB9698">
      <w:pPr>
        <w:spacing w:line="520" w:lineRule="exact"/>
        <w:rPr>
          <w:rFonts w:hint="eastAsia" w:ascii="宋体" w:hAnsi="宋体" w:cs="宋体"/>
          <w:sz w:val="28"/>
          <w:szCs w:val="28"/>
        </w:rPr>
      </w:pPr>
    </w:p>
    <w:p w14:paraId="777C12F6">
      <w:pPr>
        <w:spacing w:line="520" w:lineRule="exact"/>
        <w:rPr>
          <w:rFonts w:hint="eastAsia" w:ascii="宋体" w:hAnsi="宋体" w:cs="宋体"/>
          <w:sz w:val="28"/>
          <w:szCs w:val="28"/>
        </w:rPr>
      </w:pPr>
    </w:p>
    <w:p w14:paraId="17948EB9">
      <w:pPr>
        <w:spacing w:line="520" w:lineRule="exact"/>
        <w:rPr>
          <w:rFonts w:hint="eastAsia" w:ascii="宋体" w:hAnsi="宋体" w:cs="宋体"/>
          <w:sz w:val="28"/>
          <w:szCs w:val="28"/>
        </w:rPr>
      </w:pPr>
    </w:p>
    <w:p w14:paraId="02A96B41">
      <w:pPr>
        <w:pStyle w:val="2"/>
        <w:rPr>
          <w:rFonts w:hint="eastAsia"/>
        </w:rPr>
      </w:pPr>
    </w:p>
    <w:p w14:paraId="4BEDF86E">
      <w:pPr>
        <w:spacing w:line="520" w:lineRule="exact"/>
        <w:rPr>
          <w:rFonts w:ascii="宋体" w:hAnsi="宋体" w:cs="宋体"/>
          <w:sz w:val="28"/>
          <w:szCs w:val="28"/>
        </w:rPr>
      </w:pPr>
      <w:r>
        <w:rPr>
          <w:rFonts w:hint="eastAsia" w:ascii="宋体" w:hAnsi="宋体" w:cs="宋体"/>
          <w:sz w:val="28"/>
          <w:szCs w:val="28"/>
        </w:rPr>
        <w:t>甲方（盖章）                    乙方（盖章）：</w:t>
      </w:r>
    </w:p>
    <w:p w14:paraId="40956050">
      <w:pPr>
        <w:spacing w:line="520" w:lineRule="exact"/>
        <w:rPr>
          <w:rFonts w:ascii="宋体" w:hAnsi="宋体" w:cs="宋体"/>
          <w:sz w:val="28"/>
          <w:szCs w:val="28"/>
        </w:rPr>
      </w:pPr>
    </w:p>
    <w:p w14:paraId="50AA8626">
      <w:pPr>
        <w:spacing w:line="520" w:lineRule="exact"/>
        <w:rPr>
          <w:rFonts w:ascii="宋体" w:hAnsi="宋体" w:cs="宋体"/>
          <w:sz w:val="28"/>
          <w:szCs w:val="28"/>
        </w:rPr>
      </w:pPr>
      <w:r>
        <w:rPr>
          <w:rFonts w:hint="eastAsia" w:ascii="宋体" w:hAnsi="宋体" w:cs="宋体"/>
          <w:sz w:val="28"/>
          <w:szCs w:val="28"/>
        </w:rPr>
        <w:t xml:space="preserve">签字：                          签字：                                      </w:t>
      </w:r>
    </w:p>
    <w:p w14:paraId="749CE82C">
      <w:pPr>
        <w:spacing w:line="520" w:lineRule="exact"/>
        <w:rPr>
          <w:rFonts w:ascii="宋体" w:hAnsi="宋体" w:cs="宋体"/>
          <w:sz w:val="28"/>
          <w:szCs w:val="28"/>
        </w:rPr>
      </w:pPr>
      <w:r>
        <w:rPr>
          <w:rFonts w:hint="eastAsia" w:ascii="宋体" w:hAnsi="宋体" w:cs="宋体"/>
          <w:sz w:val="28"/>
          <w:szCs w:val="28"/>
        </w:rPr>
        <w:t>电话：                          电话：</w:t>
      </w:r>
    </w:p>
    <w:p w14:paraId="0AABD3F8">
      <w:pPr>
        <w:pStyle w:val="20"/>
        <w:spacing w:line="520" w:lineRule="exact"/>
        <w:ind w:firstLine="0" w:firstLineChars="0"/>
        <w:rPr>
          <w:rFonts w:ascii="宋体" w:hAnsi="宋体" w:cs="宋体"/>
          <w:sz w:val="28"/>
          <w:szCs w:val="28"/>
        </w:rPr>
      </w:pPr>
    </w:p>
    <w:p w14:paraId="0C7BB2A1">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乙方开户银行： </w:t>
      </w:r>
    </w:p>
    <w:p w14:paraId="34C923CF">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乙方银行账号： </w:t>
      </w:r>
    </w:p>
    <w:p w14:paraId="7C4E5CCB">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乙方账号名称： </w:t>
      </w:r>
    </w:p>
    <w:p w14:paraId="22693A9E">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 </w:t>
      </w:r>
    </w:p>
    <w:p w14:paraId="61771540">
      <w:pPr>
        <w:pStyle w:val="20"/>
        <w:spacing w:line="520" w:lineRule="exact"/>
      </w:pPr>
    </w:p>
    <w:p w14:paraId="4C45C377">
      <w:pPr>
        <w:pStyle w:val="12"/>
        <w:ind w:left="0" w:leftChars="0" w:firstLine="0" w:firstLineChars="0"/>
        <w:jc w:val="both"/>
        <w:rPr>
          <w:rFonts w:hint="default" w:ascii="方正黑体简体" w:hAnsi="方正黑体简体" w:eastAsia="方正黑体简体" w:cs="方正黑体简体"/>
          <w:b/>
          <w:bCs/>
          <w:sz w:val="32"/>
          <w:szCs w:val="28"/>
          <w:lang w:val="en-US" w:eastAsia="zh-CN"/>
        </w:rPr>
      </w:pPr>
      <w:bookmarkStart w:id="0" w:name="_GoBack"/>
      <w:bookmarkEnd w:id="0"/>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47E7C3A"/>
    <w:rsid w:val="06952D48"/>
    <w:rsid w:val="07A81525"/>
    <w:rsid w:val="08ED512C"/>
    <w:rsid w:val="0919178E"/>
    <w:rsid w:val="0948525F"/>
    <w:rsid w:val="09B302C8"/>
    <w:rsid w:val="0A4D7FFB"/>
    <w:rsid w:val="0A5013C7"/>
    <w:rsid w:val="0AC45170"/>
    <w:rsid w:val="0BC32105"/>
    <w:rsid w:val="0BF73B5D"/>
    <w:rsid w:val="0D611BD6"/>
    <w:rsid w:val="0F070010"/>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8321DB0"/>
    <w:rsid w:val="28A5282C"/>
    <w:rsid w:val="2B4A73A8"/>
    <w:rsid w:val="2CD921FA"/>
    <w:rsid w:val="2D2307FE"/>
    <w:rsid w:val="2D7050C6"/>
    <w:rsid w:val="304B42F4"/>
    <w:rsid w:val="308C70F9"/>
    <w:rsid w:val="30E563C3"/>
    <w:rsid w:val="31894225"/>
    <w:rsid w:val="320F3A3F"/>
    <w:rsid w:val="3421711A"/>
    <w:rsid w:val="35593941"/>
    <w:rsid w:val="356967E3"/>
    <w:rsid w:val="35FC1151"/>
    <w:rsid w:val="364F7F6E"/>
    <w:rsid w:val="36AE1B85"/>
    <w:rsid w:val="372E66B4"/>
    <w:rsid w:val="37DC4063"/>
    <w:rsid w:val="37E204AC"/>
    <w:rsid w:val="38286CC9"/>
    <w:rsid w:val="3A635C3D"/>
    <w:rsid w:val="3A7D7BD9"/>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3293D73"/>
    <w:rsid w:val="63657A8F"/>
    <w:rsid w:val="64566723"/>
    <w:rsid w:val="6557333C"/>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3">
    <w:name w:val="正文（绿盟科技）"/>
    <w:qFormat/>
    <w:uiPriority w:val="99"/>
    <w:pPr>
      <w:spacing w:line="300" w:lineRule="auto"/>
    </w:pPr>
    <w:rPr>
      <w:rFonts w:ascii="Arial" w:hAnsi="Arial" w:eastAsia="宋体" w:cs="Arial"/>
      <w:sz w:val="21"/>
      <w:szCs w:val="21"/>
      <w:lang w:val="en-US" w:eastAsia="zh-CN" w:bidi="ar-SA"/>
    </w:rPr>
  </w:style>
  <w:style w:type="paragraph" w:styleId="6">
    <w:name w:val="Body Text"/>
    <w:basedOn w:val="1"/>
    <w:next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semiHidden/>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0"/>
    <w:pPr>
      <w:ind w:firstLine="420" w:firstLineChars="100"/>
    </w:pPr>
  </w:style>
  <w:style w:type="paragraph" w:styleId="13">
    <w:name w:val="Body Text First Indent 2"/>
    <w:basedOn w:val="7"/>
    <w:next w:val="1"/>
    <w:qFormat/>
    <w:uiPriority w:val="0"/>
    <w:pPr>
      <w:ind w:firstLine="640" w:firstLineChars="200"/>
    </w:pPr>
  </w:style>
  <w:style w:type="table" w:styleId="15">
    <w:name w:val="Table Grid"/>
    <w:basedOn w:val="14"/>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paragraph" w:styleId="19">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正文缩进1"/>
    <w:basedOn w:val="1"/>
    <w:autoRedefine/>
    <w:qFormat/>
    <w:uiPriority w:val="99"/>
    <w:pPr>
      <w:ind w:firstLine="420"/>
    </w:pPr>
    <w:rPr>
      <w:rFonts w:ascii="Times New Roman" w:hAnsi="Times New Roman"/>
      <w:szCs w:val="24"/>
    </w:rPr>
  </w:style>
  <w:style w:type="character" w:customStyle="1" w:styleId="22">
    <w:name w:val="font71"/>
    <w:basedOn w:val="16"/>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2489</Words>
  <Characters>2538</Characters>
  <Lines>0</Lines>
  <Paragraphs>0</Paragraphs>
  <TotalTime>0</TotalTime>
  <ScaleCrop>false</ScaleCrop>
  <LinksUpToDate>false</LinksUpToDate>
  <CharactersWithSpaces>2745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2026-03-09T07:39:05Z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