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E8F3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4B8C2AE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广汉市航鑫商贸有限责任公司</w:t>
      </w:r>
    </w:p>
    <w:p w14:paraId="5FDFFB55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手持终端机热敏打印纸采购合同</w:t>
      </w:r>
    </w:p>
    <w:p w14:paraId="3D40A2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采购人（甲方）：</w:t>
      </w:r>
    </w:p>
    <w:p w14:paraId="2CE563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供应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（乙方）：</w:t>
      </w:r>
    </w:p>
    <w:p w14:paraId="071ADE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position w:val="1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根据《中华人民共和国民法典》及广汉市航鑫商贸有限责任公司关于</w:t>
      </w:r>
      <w:r>
        <w:rPr>
          <w:rFonts w:hint="default" w:ascii="Times New Roman" w:hAnsi="Times New Roman" w:eastAsia="方正仿宋简体" w:cs="Times New Roman"/>
          <w:b w:val="0"/>
          <w:bCs w:val="0"/>
          <w:position w:val="1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路面临停项目PDA手持终端机热敏打印纸</w:t>
      </w:r>
      <w:r>
        <w:rPr>
          <w:rFonts w:hint="default" w:ascii="Times New Roman" w:hAnsi="Times New Roman" w:eastAsia="方正仿宋简体" w:cs="Times New Roman"/>
          <w:b w:val="0"/>
          <w:bCs w:val="0"/>
          <w:position w:val="1"/>
          <w:sz w:val="32"/>
          <w:szCs w:val="32"/>
          <w:lang w:eastAsia="zh-CN"/>
        </w:rPr>
        <w:t>项目的《热敏打印纸服务询价函》、乙方的《报价资料》及中标通知书，甲乙双方同意签订本合同，具体条款如下：</w:t>
      </w:r>
    </w:p>
    <w:p w14:paraId="17C1868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一、产品名称、规格及单价</w:t>
      </w:r>
    </w:p>
    <w:tbl>
      <w:tblPr>
        <w:tblStyle w:val="8"/>
        <w:tblW w:w="0" w:type="auto"/>
        <w:tblInd w:w="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962"/>
        <w:gridCol w:w="2641"/>
      </w:tblGrid>
      <w:tr w14:paraId="2387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</w:tcPr>
          <w:p w14:paraId="32AC2F03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962" w:type="dxa"/>
          </w:tcPr>
          <w:p w14:paraId="1006FEDA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  <w:t>规格</w:t>
            </w:r>
          </w:p>
        </w:tc>
        <w:tc>
          <w:tcPr>
            <w:tcW w:w="2641" w:type="dxa"/>
          </w:tcPr>
          <w:p w14:paraId="63FE9FD0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  <w:t>单价</w:t>
            </w:r>
          </w:p>
        </w:tc>
      </w:tr>
      <w:tr w14:paraId="65F9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2397" w:type="dxa"/>
          </w:tcPr>
          <w:p w14:paraId="4D052DCA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手持终端机热敏打印纸</w:t>
            </w:r>
          </w:p>
        </w:tc>
        <w:tc>
          <w:tcPr>
            <w:tcW w:w="2962" w:type="dxa"/>
          </w:tcPr>
          <w:p w14:paraId="3932584D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57mmX30mm,重量70克/卷，无芯，长度不小于6米/卷</w:t>
            </w:r>
          </w:p>
        </w:tc>
        <w:tc>
          <w:tcPr>
            <w:tcW w:w="2641" w:type="dxa"/>
          </w:tcPr>
          <w:p w14:paraId="4DEC5680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3D45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（一）本合同单价为固定含税单价（包含产品生产成本、包装费、运输费、税费及售后服务等一切相关费用），合同履行期间不作调整。</w:t>
      </w:r>
    </w:p>
    <w:p w14:paraId="625C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（二）双方最终结算金额=本合同约定单价×甲方实际领用、使用且验收合格的货物数量，结算金额以双方核对确认的对账凭证为准。</w:t>
      </w:r>
    </w:p>
    <w:p w14:paraId="7E4FC4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二、质量及验收标准</w:t>
      </w:r>
    </w:p>
    <w:p w14:paraId="4E3D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（一）乙方提供的热敏打印纸必须符合国家现行相关行业质量标准、规范及产品出厂标准，且需随货提供产品合格证、质量检测报告等相关证明文件，确保产品质量合格、来源正规。</w:t>
      </w:r>
    </w:p>
    <w:p w14:paraId="14593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（二）产品需严格适配甲方路面临停项目PDA手持终端机的使用要求，打印清晰、无断纸、无卡纸现象；每卷产品需采用密封防潮包装，包装完好无损，防止受潮、破损、污染，确保打印效果不受影响。</w:t>
      </w:r>
    </w:p>
    <w:p w14:paraId="2B287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（三）热敏打印纸需具备良好的耐热性、耐摩擦性和耐光性，在正常使用环境下，打印字迹保留时间不低于3个月，满足甲方路面临停项目日常收费单据打印的正常使用需求。</w:t>
      </w:r>
    </w:p>
    <w:p w14:paraId="17C4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（四）甲方在领取货物时，可现场对产品包装、外观、规格进行初步验收；使用过程中发现产品不符合上述质量标准的，视为验收不合格，甲方有权按本合同约定要求乙方更换、退货。</w:t>
      </w:r>
    </w:p>
    <w:p w14:paraId="0B28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三、合同期限</w:t>
      </w:r>
    </w:p>
    <w:p w14:paraId="1A72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（一）本合同自签订之日起有效期为一年。（合同到期后经考核合格可续签，续签不超过2次。）</w:t>
      </w:r>
    </w:p>
    <w:p w14:paraId="5E86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（二）合同履行期间，若甲方因自身经营发生重大调整、变更，致使本合同约定服务已无履行必要的，本合同自动终止，甲方不承担违约责任。</w:t>
      </w:r>
    </w:p>
    <w:p w14:paraId="2A52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四、 交货时间、地点及方式</w:t>
      </w:r>
    </w:p>
    <w:p w14:paraId="6278F0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交货时间：乙方需按照甲方每周发出的供货通知，按时完成供货；若甲方出现紧急供货需求（如打印纸耗尽影响正常收费），乙方需在接到甲方通知后2小时内响应，4小时内完成供货（特殊情况双方另行协商，但不得影响甲方正常工作）。</w:t>
      </w:r>
    </w:p>
    <w:p w14:paraId="70AA31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（二）交货地点：广汉市城区内甲方指定地点（具体地点以甲方每次供货通知为准）。</w:t>
      </w:r>
    </w:p>
    <w:p w14:paraId="33CB1B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（三）交货方式：乙方负责将货物送达甲方指定交货地点，甲方派遣收费员代表核对货物数量、规格及包装后，在乙方送货单上签字确认，签字后即视为货物交付完成（货物交付后的保管责任由甲方承担）。</w:t>
      </w:r>
    </w:p>
    <w:p w14:paraId="58F196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（四）送货单：乙方每次供货需携带送货单（注明供货日期、产品名称、规格、数量、单价、金额等信息），送货单需经甲方签字确认后，双方各留存一份，作为对账结算的辅助依据。</w:t>
      </w:r>
    </w:p>
    <w:p w14:paraId="6133D5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五、售后服务</w:t>
      </w:r>
    </w:p>
    <w:p w14:paraId="4666C7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甲方在收到产品或使用过程中，发现产品因质量问题（如打印模糊、断纸、受潮、规格不符等）影响正常使用的，有权随时向乙方提出质量投诉，乙方需在收到投诉后1小时内响应，2小时内派员核查（紧急情况可现场核查）。</w:t>
      </w:r>
    </w:p>
    <w:p w14:paraId="043244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经核查确认属于产品质量问题的，乙方需在6小时内为甲方完成更换或退货处理，更换的产品需符合本合同约定的质量标准，退货产生的全部费用（包括运输费、装卸费等）由乙方承担；若乙方未按时完成更换/退货，影响甲方正常工作的，需承担相应的违约责任。付款方式及支付节点。</w:t>
      </w:r>
    </w:p>
    <w:p w14:paraId="5140CD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六、付款方式及支付节点</w:t>
      </w:r>
    </w:p>
    <w:p w14:paraId="044CA1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（一）付款方式</w:t>
      </w:r>
    </w:p>
    <w:p w14:paraId="522500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银行转账。</w:t>
      </w:r>
    </w:p>
    <w:p w14:paraId="291B70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（二）核对流程</w:t>
      </w:r>
    </w:p>
    <w:p w14:paraId="780DAA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每月月底，甲方指定工作人员与乙方进行对账，根据收费人员每周实际领用、使用的打印纸数量，核对当月实际供货总量、确定金额，双方核对无误后，签署对账确认凭证，作为结算依据。</w:t>
      </w:r>
    </w:p>
    <w:p w14:paraId="57E01E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（三）支付方式及期限</w:t>
      </w:r>
    </w:p>
    <w:p w14:paraId="070948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本次采购款项按季度支付，具体流程如下：</w:t>
      </w:r>
    </w:p>
    <w:p w14:paraId="0A084E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1.每季度结束后，乙方根据当季对账确认凭证，在5个工作日内提交合法有效的结算凭证及增值税发票；</w:t>
      </w:r>
    </w:p>
    <w:p w14:paraId="7FC222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2.甲方收到相关资料后，及时组织审核，审核通过后，在10个工作日内将对应款项支付至服务商。  </w:t>
      </w:r>
    </w:p>
    <w:p w14:paraId="7E691BFE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七、违约责任</w:t>
      </w:r>
    </w:p>
    <w:p w14:paraId="18CBF0FC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乙方未按本合同约定的时间、地点、规格、数量提供货物的，每逾期一天，需按当次供货金额的1%向甲方支付违约金；逾期超过3天（含3天），甲方有权解除该批次供货约定，要求乙方赔偿因此给甲方造成的损失（包括但不限于误工损失、临时采购替代产品的额外费用等），若累计逾期3次以上，甲方有权解除本合同。</w:t>
      </w:r>
    </w:p>
    <w:p w14:paraId="06E0510B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乙方提供的产品不符合本合同约定的质量标准，经更换后仍不合格的，甲方有权解除合同，乙方需退还甲方已支付的全部款项，并赔偿甲方因此造成的损失；同时，乙方需按合同总金额的1%向甲方支付违约金。</w:t>
      </w:r>
    </w:p>
    <w:p w14:paraId="62A1292F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（三）乙方未按约定履行售后服务义务（如未按时响应投诉、未按时完成更换/退货等），每次需向甲方支付500元违约金，若因此给甲方造成损失的，需另行赔偿。</w:t>
      </w:r>
    </w:p>
    <w:p w14:paraId="597941F7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八、争议解决</w:t>
      </w:r>
    </w:p>
    <w:p w14:paraId="3AA9AB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（一）本合同履行过程中发生的争议，双方应首先友好协商解决。</w:t>
      </w:r>
    </w:p>
    <w:p w14:paraId="6A7B52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（二）若协商不成，任何一方均有权向广汉市人民法院提起诉讼，通过法律途径解决。</w:t>
      </w:r>
    </w:p>
    <w:p w14:paraId="7AE6E4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（三）争议解决期间，除争议事项外，双方应继续履行本合同其他约定条款。</w:t>
      </w:r>
    </w:p>
    <w:p w14:paraId="71F2FF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九、其他</w:t>
      </w:r>
    </w:p>
    <w:p w14:paraId="135534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（一）本合同一式肆份，甲乙双方各执贰份，经双方签字盖章后生效。  </w:t>
      </w:r>
    </w:p>
    <w:p w14:paraId="1999E4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（二）本合同未尽事宜，双方可另行协商解决，并签订补充协议，补充协议与本合同具有同等法律效力。</w:t>
      </w:r>
    </w:p>
    <w:p w14:paraId="176BA1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F0BCF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甲方（盖章）：                  乙方（盖章）：  </w:t>
      </w:r>
    </w:p>
    <w:p w14:paraId="0D7B3E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授权代表（签字）：              授权代表（签字）：</w:t>
      </w:r>
    </w:p>
    <w:p w14:paraId="6B3943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日期：</w:t>
      </w:r>
    </w:p>
    <w:p w14:paraId="39DFF5B0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AD34385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6C17FB7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B966C56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2C736AF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77ADEA2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420A5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手持终端机热敏打印纸供应商履约考核表</w:t>
      </w:r>
    </w:p>
    <w:p w14:paraId="38A17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合同名称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：广汉市航鑫商贸有限责任公司手持终端机热敏打印纸采购合同</w:t>
      </w:r>
    </w:p>
    <w:p w14:paraId="199CC3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供应商（乙方）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：________________________</w:t>
      </w:r>
    </w:p>
    <w:p w14:paraId="324EF6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考核周期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日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 xml:space="preserve"> —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日</w:t>
      </w:r>
    </w:p>
    <w:p w14:paraId="16A91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考核单位（甲方）：广汉市航鑫商贸有限责任公司</w:t>
      </w:r>
    </w:p>
    <w:tbl>
      <w:tblPr>
        <w:tblStyle w:val="7"/>
        <w:tblW w:w="9982" w:type="dxa"/>
        <w:jc w:val="center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2295"/>
        <w:gridCol w:w="870"/>
        <w:gridCol w:w="2284"/>
        <w:gridCol w:w="2160"/>
        <w:gridCol w:w="483"/>
        <w:gridCol w:w="633"/>
      </w:tblGrid>
      <w:tr w14:paraId="6A8282B3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2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5E6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考核维度</w:t>
            </w: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814E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考核项目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C0EF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合同依据条款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EC01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考核标准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CFA0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1EA8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5D7F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6E1E48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CE5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产品质量（40 分）</w:t>
            </w: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DBC1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规格参数符合性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EEE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第二条第1-2 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4C8F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完全符合57mm×30mm、70克 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、无芯、长度≥6米要求，无偏差得10分；每出现1批次不符扣5分，扣完为止。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1B1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9A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50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1F4735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7C00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074F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打印性能达标率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0C63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第二条第2-3 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F0FF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打印清晰、无卡纸/ 断纸，耐热/耐摩擦/ 耐光性达标，得15分；每出现1次质量问题（如字迹模糊、褪色）扣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分，累计3次及以上本项得0分。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D125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8D2D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4E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6384A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255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8078B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3. 产品资质完整性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070C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第二条第1款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CB2C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随货提供产品合格证、质检报告（复印件加盖公章），齐全得5分；缺失1项扣2.5分，扣完为止。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69D9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CA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3BE4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918CEB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1DE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BFC11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4. 包装密封完好性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E05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第二条第2款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9F8A0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独立密封包装，无受潮、破损，得10分；每出现 1批次包装问题扣2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6619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844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D2B0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BC8EF6F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257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064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交货履约（40 分）</w:t>
            </w:r>
          </w:p>
        </w:tc>
        <w:tc>
          <w:tcPr>
            <w:tcW w:w="2295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41C1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交货及时性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1CCA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第四条第1款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732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每周不定期按甲方通知时间交货一次，得10分；每逾期1次扣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分，逾期超2次本项得0分。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664B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3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7D58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03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507F6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71E2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5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401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F5AE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第四条第1款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5C0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紧急交货时限：紧急需求2小时内响应，4小时内完成供货），得1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分；每逾期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小时扣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分，逾期超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24小时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本项得0分。</w:t>
            </w:r>
          </w:p>
        </w:tc>
        <w:tc>
          <w:tcPr>
            <w:tcW w:w="2160" w:type="dxa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53BFD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3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8437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3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604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C17C45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6E5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101FD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交货数量准确性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9C8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第一条、第四条第3款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F7EB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实际供货数量与需求一致，签收无异议得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分；每出现1次短少，扣5分，扣完为止。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DD4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DCEF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FFB5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B8EE8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AC9B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售后服务（20分）</w:t>
            </w: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209D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质量问题响应速度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755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第五条第2款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40E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收到质量投诉后1小时内响应，得8分；超时响应每次扣4分，扣完为止。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E1B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00D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E52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920A2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D56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D37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问题处理时效性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4CB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第五条第2款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8BC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2小时内核查、6小时内完成更换/退货，得12分；每逾期12小时扣4分，未按要求处理本项得0分。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6F3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93E3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62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AFC4C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706" w:type="dxa"/>
            <w:gridSpan w:val="4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139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合计得分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294C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78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47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117402F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982" w:type="dxa"/>
            <w:gridSpan w:val="7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294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 w:bidi="ar"/>
              </w:rPr>
              <w:t>注：考核分值90分及以上，可续签合同</w:t>
            </w:r>
          </w:p>
        </w:tc>
      </w:tr>
      <w:tr w14:paraId="20A6D9B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52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DB4A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甲方审核意见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（签字/盖章）：</w:t>
            </w:r>
          </w:p>
          <w:p w14:paraId="089E5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日期:   年  月  日</w:t>
            </w:r>
          </w:p>
        </w:tc>
        <w:tc>
          <w:tcPr>
            <w:tcW w:w="6430" w:type="dxa"/>
            <w:gridSpan w:val="5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BF1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6632521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905090-ABD4-46A4-9E04-0851121044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17BD88-61AC-4887-8B0B-CE88F06489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2C4BCC-8211-4000-93FE-6C432938D17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ED48F9-BFCD-4A59-A3E2-4D5E59876B74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BF701DD-901E-487B-9042-621FD8CAD9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1D40E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B1EAD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5AD6A17"/>
    <w:rsid w:val="019A2388"/>
    <w:rsid w:val="069946CD"/>
    <w:rsid w:val="084A0EA6"/>
    <w:rsid w:val="1538249E"/>
    <w:rsid w:val="16E74615"/>
    <w:rsid w:val="239E4A4B"/>
    <w:rsid w:val="24262FA2"/>
    <w:rsid w:val="24376EFD"/>
    <w:rsid w:val="295A374B"/>
    <w:rsid w:val="29A17BC2"/>
    <w:rsid w:val="2A434D64"/>
    <w:rsid w:val="2DD83E30"/>
    <w:rsid w:val="39C42D87"/>
    <w:rsid w:val="3EC82057"/>
    <w:rsid w:val="3EE61EC3"/>
    <w:rsid w:val="3F1D6F19"/>
    <w:rsid w:val="4C6E2EDF"/>
    <w:rsid w:val="50653E8E"/>
    <w:rsid w:val="5141362E"/>
    <w:rsid w:val="526F57C8"/>
    <w:rsid w:val="55614355"/>
    <w:rsid w:val="5CA71C73"/>
    <w:rsid w:val="650E16D8"/>
    <w:rsid w:val="65AD6A17"/>
    <w:rsid w:val="66046F64"/>
    <w:rsid w:val="66D91829"/>
    <w:rsid w:val="684C5FD4"/>
    <w:rsid w:val="750731F3"/>
    <w:rsid w:val="7C5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5510</Words>
  <Characters>5695</Characters>
  <Lines>0</Lines>
  <Paragraphs>0</Paragraphs>
  <TotalTime>288</TotalTime>
  <ScaleCrop>false</ScaleCrop>
  <LinksUpToDate>false</LinksUpToDate>
  <CharactersWithSpaces>5871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2024-09-23T11:54:00Z</dcterms:created>
  <dc:creator>愚公移山不改道</dc:creator>
  <cp:lastModifiedBy>赵洪彪</cp:lastModifiedBy>
  <cp:lastPrinted>2026-02-25T06:55:00Z</cp:lastPrinted>
  <dcterms:modified xsi:type="dcterms:W3CDTF">2026-02-25T07:08:14Z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0E1FDC15794C4E878D4F74527894E80A_13</vt:lpwstr>
  </property>
  <property fmtid="{D5CDD505-2E9C-101B-9397-08002B2CF9AE}" pid="4" name="KSOTemplateDocerSaveRecord">
    <vt:lpwstr>eyJoZGlkIjoiZGFiODVmNmZmZDE3YzllOGE5NjI3ZDE0ZTA0Mzk4NzQiLCJ1c2VySWQiOiIxMDI5NDY5NTcyIn0=</vt:lpwstr>
  </property>
</Properties>
</file>