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88F6">
      <w:pPr>
        <w:bidi w:val="0"/>
        <w:rPr>
          <w:rFonts w:hint="default" w:ascii="黑体" w:hAnsi="黑体" w:eastAsia="黑体" w:cs="黑体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4958E813">
      <w:pPr>
        <w:spacing w:line="520" w:lineRule="exact"/>
        <w:jc w:val="center"/>
        <w:rPr>
          <w:rFonts w:asciiTheme="minorEastAsia" w:hAnsiTheme="minorEastAsia" w:eastAsiaTheme="minorEastAsia"/>
          <w:b/>
          <w:sz w:val="40"/>
          <w:szCs w:val="40"/>
        </w:rPr>
      </w:pPr>
      <w:r>
        <w:rPr>
          <w:rFonts w:hint="eastAsia" w:asciiTheme="minorEastAsia" w:hAnsiTheme="minorEastAsia" w:eastAsiaTheme="minorEastAsia"/>
          <w:b/>
          <w:sz w:val="40"/>
          <w:szCs w:val="40"/>
        </w:rPr>
        <w:t>垃圾清运服务合同</w:t>
      </w:r>
    </w:p>
    <w:p w14:paraId="328CDF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以实际签订为准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）</w:t>
      </w:r>
    </w:p>
    <w:p w14:paraId="42572750">
      <w:pPr>
        <w:spacing w:line="520" w:lineRule="exact"/>
        <w:rPr>
          <w:rFonts w:asciiTheme="minorEastAsia" w:hAnsiTheme="minorEastAsia" w:eastAsiaTheme="minorEastAsia"/>
          <w:sz w:val="28"/>
          <w:szCs w:val="28"/>
        </w:rPr>
      </w:pPr>
    </w:p>
    <w:p w14:paraId="686622A9">
      <w:pPr>
        <w:spacing w:line="560" w:lineRule="exact"/>
        <w:ind w:firstLine="562" w:firstLineChars="2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广汉兴鑫水务有限责任公司</w:t>
      </w:r>
      <w:r>
        <w:rPr>
          <w:rFonts w:hint="eastAsia" w:asciiTheme="minorEastAsia" w:hAnsiTheme="minorEastAsia" w:eastAsiaTheme="minorEastAsia"/>
          <w:sz w:val="28"/>
          <w:szCs w:val="28"/>
        </w:rPr>
        <w:t>（甲方名称，以下简称“甲方”）为获得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广汉兴鑫水务有限责任公司关于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  <w:lang w:val="en-US" w:eastAsia="zh-CN"/>
        </w:rPr>
        <w:t>采购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第二污水处理厂垃圾清运服务</w:t>
      </w:r>
      <w:r>
        <w:rPr>
          <w:rFonts w:hint="eastAsia" w:asciiTheme="minorEastAsia" w:hAnsiTheme="minorEastAsia" w:eastAsiaTheme="minorEastAsia"/>
          <w:sz w:val="28"/>
          <w:szCs w:val="28"/>
        </w:rPr>
        <w:t>（服务名称）合同的垃圾清运服务，已接受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（乙方名称，以下简称“乙方”）不定期对第二污水处理厂垃圾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</w:t>
      </w:r>
      <w:r>
        <w:rPr>
          <w:rFonts w:hint="eastAsia" w:asciiTheme="minorEastAsia" w:hAnsiTheme="minorEastAsia" w:eastAsiaTheme="minorEastAsia"/>
          <w:sz w:val="28"/>
          <w:szCs w:val="28"/>
        </w:rPr>
        <w:t>清运服务，甲方和乙方共同达成如下协议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：</w:t>
      </w:r>
    </w:p>
    <w:p w14:paraId="40C3A8D3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一、合同范围：</w:t>
      </w:r>
    </w:p>
    <w:p w14:paraId="120E4163">
      <w:pPr>
        <w:spacing w:line="56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第二污水处理厂垃圾清运服务。</w:t>
      </w:r>
    </w:p>
    <w:p w14:paraId="3867D5D4">
      <w:pPr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二、合同服务时间</w:t>
      </w:r>
    </w:p>
    <w:p w14:paraId="5E9E65A6">
      <w:pPr>
        <w:spacing w:line="560" w:lineRule="exact"/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合同签订后一年或累计转运车数达50车时合同终止（以先到者为准），根据考核可选择续签，续签最多不超过两次（含两次）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5AE0C5CB">
      <w:pPr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三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、合同价格与支付</w:t>
      </w:r>
    </w:p>
    <w:p w14:paraId="4A3F4C14">
      <w:pPr>
        <w:spacing w:line="560" w:lineRule="exact"/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bookmarkStart w:id="0" w:name="_Hlk52294510"/>
      <w:r>
        <w:rPr>
          <w:rFonts w:hint="eastAsia" w:asciiTheme="minorEastAsia" w:hAnsiTheme="minorEastAsia" w:eastAsiaTheme="minorEastAsia"/>
          <w:sz w:val="28"/>
          <w:szCs w:val="28"/>
        </w:rPr>
        <w:t>1.合同价格：垃圾清运服务总价格为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大写：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元/车</w:t>
      </w:r>
      <w:r>
        <w:rPr>
          <w:rFonts w:hint="eastAsia" w:asciiTheme="minorEastAsia" w:hAnsiTheme="minorEastAsia" w:eastAsiaTheme="minorEastAsia"/>
          <w:sz w:val="28"/>
          <w:szCs w:val="28"/>
        </w:rPr>
        <w:t>，垃圾清运车数为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/>
          <w:sz w:val="28"/>
          <w:szCs w:val="28"/>
        </w:rPr>
        <w:t>车。若超过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/>
          <w:sz w:val="28"/>
          <w:szCs w:val="28"/>
        </w:rPr>
        <w:t>车，合同自动终止。</w:t>
      </w:r>
    </w:p>
    <w:p w14:paraId="2F334229">
      <w:pPr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2.合同价款的支付：无预付款，甲方每季度据实结算，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asciiTheme="minorEastAsia" w:hAnsiTheme="minorEastAsia" w:eastAsiaTheme="minorEastAsia"/>
          <w:sz w:val="28"/>
          <w:szCs w:val="28"/>
        </w:rPr>
        <w:t>收到</w:t>
      </w:r>
      <w:r>
        <w:rPr>
          <w:rFonts w:hint="eastAsia" w:asciiTheme="minorEastAsia" w:hAnsiTheme="minorEastAsia" w:eastAsiaTheme="minorEastAsia"/>
          <w:sz w:val="28"/>
          <w:szCs w:val="28"/>
        </w:rPr>
        <w:t>乙方开具合规的</w:t>
      </w:r>
      <w:r>
        <w:rPr>
          <w:rFonts w:asciiTheme="minorEastAsia" w:hAnsiTheme="minorEastAsia" w:eastAsiaTheme="minorEastAsia"/>
          <w:sz w:val="28"/>
          <w:szCs w:val="28"/>
        </w:rPr>
        <w:t>增值税</w:t>
      </w:r>
      <w:r>
        <w:rPr>
          <w:rFonts w:hint="eastAsia" w:asciiTheme="minorEastAsia" w:hAnsiTheme="minorEastAsia" w:eastAsiaTheme="minorEastAsia"/>
          <w:sz w:val="28"/>
          <w:szCs w:val="28"/>
        </w:rPr>
        <w:t>专用</w:t>
      </w:r>
      <w:r>
        <w:rPr>
          <w:rFonts w:asciiTheme="minorEastAsia" w:hAnsiTheme="minorEastAsia" w:eastAsiaTheme="minorEastAsia"/>
          <w:sz w:val="28"/>
          <w:szCs w:val="28"/>
        </w:rPr>
        <w:t>发票后</w:t>
      </w:r>
      <w:r>
        <w:rPr>
          <w:rFonts w:hint="eastAsia" w:asciiTheme="minorEastAsia" w:hAnsiTheme="minorEastAsia" w:eastAsiaTheme="minorEastAsia"/>
          <w:sz w:val="28"/>
          <w:szCs w:val="28"/>
        </w:rPr>
        <w:t>，10</w:t>
      </w:r>
      <w:r>
        <w:rPr>
          <w:rFonts w:asciiTheme="minorEastAsia" w:hAnsiTheme="minorEastAsia" w:eastAsiaTheme="minorEastAsia"/>
          <w:sz w:val="28"/>
          <w:szCs w:val="28"/>
        </w:rPr>
        <w:t>个工作日内向乙方</w:t>
      </w:r>
      <w:r>
        <w:rPr>
          <w:rFonts w:hint="eastAsia" w:asciiTheme="minorEastAsia" w:hAnsiTheme="minorEastAsia" w:eastAsiaTheme="minorEastAsia"/>
          <w:sz w:val="28"/>
          <w:szCs w:val="28"/>
        </w:rPr>
        <w:t>一次性</w:t>
      </w:r>
      <w:r>
        <w:rPr>
          <w:rFonts w:asciiTheme="minorEastAsia" w:hAnsiTheme="minorEastAsia" w:eastAsiaTheme="minorEastAsia"/>
          <w:sz w:val="28"/>
          <w:szCs w:val="28"/>
        </w:rPr>
        <w:t>付清每季度垃圾清运</w:t>
      </w:r>
      <w:r>
        <w:rPr>
          <w:rFonts w:hint="eastAsia" w:asciiTheme="minorEastAsia" w:hAnsiTheme="minorEastAsia" w:eastAsiaTheme="minorEastAsia"/>
          <w:sz w:val="28"/>
          <w:szCs w:val="28"/>
        </w:rPr>
        <w:t>服务费用。</w:t>
      </w:r>
    </w:p>
    <w:p w14:paraId="4301A80E">
      <w:pPr>
        <w:spacing w:line="560" w:lineRule="exac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asciiTheme="minorEastAsia" w:hAnsiTheme="minorEastAsia" w:eastAsiaTheme="minorEastAsia"/>
          <w:b/>
          <w:sz w:val="28"/>
          <w:szCs w:val="28"/>
        </w:rPr>
        <w:t>四、双方权利、义务</w:t>
      </w:r>
    </w:p>
    <w:p w14:paraId="250867FE">
      <w:pPr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（一）甲方权利义务</w:t>
      </w:r>
    </w:p>
    <w:p w14:paraId="708AE721">
      <w:pPr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asciiTheme="minorEastAsia" w:hAnsiTheme="minorEastAsia" w:eastAsiaTheme="minorEastAsia"/>
          <w:sz w:val="28"/>
          <w:szCs w:val="28"/>
        </w:rPr>
        <w:t>甲方应有相关工作人员配合乙方的</w:t>
      </w:r>
      <w:r>
        <w:rPr>
          <w:rFonts w:hint="eastAsia" w:asciiTheme="minorEastAsia" w:hAnsiTheme="minorEastAsia" w:eastAsiaTheme="minorEastAsia"/>
          <w:sz w:val="28"/>
          <w:szCs w:val="28"/>
        </w:rPr>
        <w:t>清运垃圾</w:t>
      </w:r>
      <w:r>
        <w:rPr>
          <w:rFonts w:asciiTheme="minorEastAsia" w:hAnsiTheme="minorEastAsia" w:eastAsiaTheme="minorEastAsia"/>
          <w:sz w:val="28"/>
          <w:szCs w:val="28"/>
        </w:rPr>
        <w:t xml:space="preserve">工作。 </w:t>
      </w:r>
    </w:p>
    <w:p w14:paraId="460AA968">
      <w:pPr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asciiTheme="minorEastAsia" w:hAnsiTheme="minorEastAsia" w:eastAsiaTheme="minorEastAsia"/>
          <w:sz w:val="28"/>
          <w:szCs w:val="28"/>
        </w:rPr>
        <w:t>甲方有权监督乙方</w:t>
      </w:r>
      <w:r>
        <w:rPr>
          <w:rFonts w:hint="eastAsia" w:asciiTheme="minorEastAsia" w:hAnsiTheme="minorEastAsia" w:eastAsiaTheme="minorEastAsia"/>
          <w:sz w:val="28"/>
          <w:szCs w:val="28"/>
        </w:rPr>
        <w:t>垃圾清运</w:t>
      </w:r>
      <w:r>
        <w:rPr>
          <w:rFonts w:asciiTheme="minorEastAsia" w:hAnsiTheme="minorEastAsia" w:eastAsiaTheme="minorEastAsia"/>
          <w:sz w:val="28"/>
          <w:szCs w:val="28"/>
        </w:rPr>
        <w:t>工作</w:t>
      </w:r>
      <w:r>
        <w:rPr>
          <w:rFonts w:hint="eastAsia" w:asciiTheme="minorEastAsia" w:hAnsiTheme="minorEastAsia" w:eastAsiaTheme="minorEastAsia"/>
          <w:sz w:val="28"/>
          <w:szCs w:val="28"/>
        </w:rPr>
        <w:t>并</w:t>
      </w:r>
      <w:r>
        <w:rPr>
          <w:rFonts w:asciiTheme="minorEastAsia" w:hAnsiTheme="minorEastAsia" w:eastAsiaTheme="minorEastAsia"/>
          <w:sz w:val="28"/>
          <w:szCs w:val="28"/>
        </w:rPr>
        <w:t>提出合理化建议</w:t>
      </w:r>
      <w:bookmarkStart w:id="1" w:name="_Hlk85281025"/>
      <w:r>
        <w:rPr>
          <w:rFonts w:asciiTheme="minorEastAsia" w:hAnsiTheme="minorEastAsia" w:eastAsiaTheme="minorEastAsia"/>
          <w:sz w:val="28"/>
          <w:szCs w:val="28"/>
        </w:rPr>
        <w:t>。</w:t>
      </w:r>
      <w:bookmarkEnd w:id="1"/>
    </w:p>
    <w:p w14:paraId="01E232E1">
      <w:pPr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3.甲方有权要求乙方处理垃圾清运后对场地卫生进行冲洗。</w:t>
      </w:r>
    </w:p>
    <w:p w14:paraId="653A7B91">
      <w:pPr>
        <w:spacing w:line="560" w:lineRule="exact"/>
        <w:ind w:firstLine="560" w:firstLineChars="200"/>
        <w:jc w:val="lef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4.甲方应</w:t>
      </w:r>
      <w:r>
        <w:rPr>
          <w:rFonts w:asciiTheme="minorEastAsia" w:hAnsiTheme="minorEastAsia" w:eastAsiaTheme="minorEastAsia"/>
          <w:sz w:val="28"/>
          <w:szCs w:val="28"/>
        </w:rPr>
        <w:t>按照协议约定的付款方式向乙方支付协议款项。</w:t>
      </w:r>
    </w:p>
    <w:p w14:paraId="47DB78CB">
      <w:pPr>
        <w:spacing w:line="560" w:lineRule="exact"/>
        <w:ind w:firstLine="560" w:firstLineChars="200"/>
        <w:jc w:val="lef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（二）乙方权利义务</w:t>
      </w:r>
    </w:p>
    <w:p w14:paraId="64ED6A2B">
      <w:pPr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.</w:t>
      </w:r>
      <w:r>
        <w:rPr>
          <w:rFonts w:asciiTheme="minorEastAsia" w:hAnsiTheme="minorEastAsia" w:eastAsiaTheme="minorEastAsia"/>
          <w:sz w:val="28"/>
          <w:szCs w:val="28"/>
        </w:rPr>
        <w:t>乙方应</w:t>
      </w:r>
      <w:r>
        <w:rPr>
          <w:rFonts w:hint="eastAsia" w:asciiTheme="minorEastAsia" w:hAnsiTheme="minorEastAsia" w:eastAsiaTheme="minorEastAsia"/>
          <w:sz w:val="28"/>
          <w:szCs w:val="28"/>
        </w:rPr>
        <w:t>遵守</w:t>
      </w:r>
      <w:r>
        <w:rPr>
          <w:rFonts w:asciiTheme="minorEastAsia" w:hAnsiTheme="minorEastAsia" w:eastAsiaTheme="minorEastAsia"/>
          <w:sz w:val="28"/>
          <w:szCs w:val="28"/>
        </w:rPr>
        <w:t>甲方管理制度，</w:t>
      </w:r>
      <w:r>
        <w:rPr>
          <w:rFonts w:hint="eastAsia" w:asciiTheme="minorEastAsia" w:hAnsiTheme="minorEastAsia" w:eastAsiaTheme="minorEastAsia"/>
          <w:sz w:val="28"/>
          <w:szCs w:val="28"/>
        </w:rPr>
        <w:t>纪律</w:t>
      </w:r>
      <w:r>
        <w:rPr>
          <w:rFonts w:asciiTheme="minorEastAsia" w:hAnsiTheme="minorEastAsia" w:eastAsiaTheme="minorEastAsia"/>
          <w:sz w:val="28"/>
          <w:szCs w:val="28"/>
        </w:rPr>
        <w:t>及作业时间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asciiTheme="minorEastAsia" w:hAnsiTheme="minorEastAsia" w:eastAsiaTheme="minorEastAsia"/>
          <w:sz w:val="28"/>
          <w:szCs w:val="28"/>
        </w:rPr>
        <w:t>如有变更</w:t>
      </w:r>
      <w:r>
        <w:rPr>
          <w:rFonts w:hint="eastAsia" w:asciiTheme="minorEastAsia" w:hAnsiTheme="minorEastAsia" w:eastAsiaTheme="minorEastAsia"/>
          <w:sz w:val="28"/>
          <w:szCs w:val="28"/>
        </w:rPr>
        <w:t>，</w:t>
      </w:r>
      <w:r>
        <w:rPr>
          <w:rFonts w:asciiTheme="minorEastAsia" w:hAnsiTheme="minorEastAsia" w:eastAsiaTheme="minorEastAsia"/>
          <w:sz w:val="28"/>
          <w:szCs w:val="28"/>
        </w:rPr>
        <w:t>双方并作出协商处理。</w:t>
      </w:r>
    </w:p>
    <w:p w14:paraId="5E4DD26C">
      <w:pPr>
        <w:spacing w:line="560" w:lineRule="exact"/>
        <w:ind w:firstLine="560" w:firstLineChars="200"/>
        <w:jc w:val="left"/>
        <w:outlineLvl w:val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2.乙方应积极配合甲方对厂区各点位的垃圾及时清运，甲方提出需求时48小时能及时响应。</w:t>
      </w:r>
    </w:p>
    <w:p w14:paraId="6B26F919">
      <w:pPr>
        <w:tabs>
          <w:tab w:val="left" w:pos="65"/>
        </w:tabs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.乙方因车辆发生故障或其他原因造成无法定时的清运，应及时通知甲方，并做好应对措施。</w:t>
      </w:r>
    </w:p>
    <w:p w14:paraId="65F6A5B7">
      <w:pPr>
        <w:tabs>
          <w:tab w:val="left" w:pos="65"/>
        </w:tabs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乙方在垃圾清运途中，应当采取相关防护措施保护自身作业人员及他人的生命、财产安全，应当为其购买相应的保险，如其在清运途中，对甲、乙方或其它第三方造成财产损坏或人身伤亡的，所有责任由乙方承担。</w:t>
      </w:r>
    </w:p>
    <w:p w14:paraId="6350FB84">
      <w:pPr>
        <w:tabs>
          <w:tab w:val="left" w:pos="65"/>
        </w:tabs>
        <w:spacing w:line="5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</w:t>
      </w:r>
      <w:r>
        <w:rPr>
          <w:rFonts w:asciiTheme="minorEastAsia" w:hAnsiTheme="minorEastAsia" w:eastAsiaTheme="minorEastAsia"/>
          <w:sz w:val="28"/>
          <w:szCs w:val="28"/>
        </w:rPr>
        <w:t>任何条件下，乙方人员不应视为与甲方有任何的劳动关系、雇佣关系，甲方不是乙方</w:t>
      </w:r>
      <w:r>
        <w:rPr>
          <w:rFonts w:hint="eastAsia" w:asciiTheme="minorEastAsia" w:hAnsiTheme="minorEastAsia" w:eastAsiaTheme="minorEastAsia"/>
          <w:sz w:val="28"/>
          <w:szCs w:val="28"/>
        </w:rPr>
        <w:t>服务</w:t>
      </w:r>
      <w:r>
        <w:rPr>
          <w:rFonts w:asciiTheme="minorEastAsia" w:hAnsiTheme="minorEastAsia" w:eastAsiaTheme="minorEastAsia"/>
          <w:sz w:val="28"/>
          <w:szCs w:val="28"/>
        </w:rPr>
        <w:t>人员的雇主，不承担任何劳动法律法规规定的由用人单位承担的责任</w:t>
      </w:r>
      <w:r>
        <w:rPr>
          <w:rFonts w:hint="eastAsia" w:asciiTheme="minorEastAsia" w:hAnsiTheme="minorEastAsia" w:eastAsiaTheme="minorEastAsia"/>
          <w:sz w:val="28"/>
          <w:szCs w:val="28"/>
        </w:rPr>
        <w:t>，服务期间若发生安全事故，由乙方承担由此造成的一切经济责任和法律责任</w:t>
      </w:r>
      <w:r>
        <w:rPr>
          <w:rFonts w:asciiTheme="minorEastAsia" w:hAnsiTheme="minorEastAsia" w:eastAsiaTheme="minorEastAsia"/>
          <w:sz w:val="28"/>
          <w:szCs w:val="28"/>
        </w:rPr>
        <w:t>。</w:t>
      </w:r>
    </w:p>
    <w:p w14:paraId="49FFE26A">
      <w:pPr>
        <w:spacing w:line="560" w:lineRule="exact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五、违约责任</w:t>
      </w:r>
    </w:p>
    <w:p w14:paraId="40768926">
      <w:pPr>
        <w:spacing w:line="560" w:lineRule="exact"/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1、合同履行期间内，如乙方违约，甲方除有权终止合同外，给甲方造成损失的，还需另外赔付。</w:t>
      </w:r>
    </w:p>
    <w:p w14:paraId="5B5811E0">
      <w:pPr>
        <w:spacing w:line="560" w:lineRule="exact"/>
        <w:ind w:firstLine="560" w:firstLineChars="200"/>
        <w:rPr>
          <w:rFonts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2、合同期内，因不可抗力因素或发生情势变更，甲乙任一方均有权解除本合同，且无需承担任何责任。</w:t>
      </w:r>
    </w:p>
    <w:p w14:paraId="4112116A">
      <w:pPr>
        <w:spacing w:line="560" w:lineRule="exact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六、其它</w:t>
      </w:r>
    </w:p>
    <w:p w14:paraId="09D664FC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1、本协议未尽事宜，甲乙双方可达成补充协议，补充协议与本协议具有同等法律效力。</w:t>
      </w:r>
    </w:p>
    <w:p w14:paraId="1E338127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2、因履行本协议发生争议，双方应协商解决，协商不成任何一方均有权向甲方所在地人民法院提起诉讼。</w:t>
      </w:r>
    </w:p>
    <w:p w14:paraId="75B91EB5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3、本协议一式五份，甲方执三份，乙方执二份。每份均具有同等法律效力，双方须共同遵守。</w:t>
      </w:r>
    </w:p>
    <w:p w14:paraId="6B80FBC9">
      <w:pPr>
        <w:spacing w:line="560" w:lineRule="exact"/>
        <w:ind w:firstLine="560" w:firstLineChars="200"/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</w:pPr>
      <w:r>
        <w:rPr>
          <w:rFonts w:hint="eastAsia" w:asciiTheme="minorEastAsia" w:hAnsiTheme="minorEastAsia" w:eastAsiaTheme="minorEastAsia"/>
          <w:kern w:val="0"/>
          <w:sz w:val="28"/>
          <w:szCs w:val="28"/>
          <w:lang w:bidi="en-US"/>
        </w:rPr>
        <w:t>4、本协议自双方签字盖章后生效。</w:t>
      </w:r>
    </w:p>
    <w:p w14:paraId="3FE0FB94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 w14:paraId="2318BD28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甲方（公章）：                       乙方（公章）</w:t>
      </w:r>
    </w:p>
    <w:p w14:paraId="2FBD549D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 w14:paraId="5940CBC1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法定代表人/委托代理人：             法定代表人/委托代理人：</w:t>
      </w:r>
    </w:p>
    <w:p w14:paraId="5349D11B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 w14:paraId="2E4EEE48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签订时间：   年  月  日             签订时间：   年  月  日</w:t>
      </w:r>
    </w:p>
    <w:p w14:paraId="4D0AB3AE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</w:p>
    <w:p w14:paraId="4A837508">
      <w:pPr>
        <w:spacing w:line="560" w:lineRule="exact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乙方收款资料：</w:t>
      </w:r>
    </w:p>
    <w:p w14:paraId="1224FEDF">
      <w:pPr>
        <w:spacing w:line="56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户名：</w:t>
      </w:r>
    </w:p>
    <w:p w14:paraId="21AB914B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开户行：</w:t>
      </w:r>
    </w:p>
    <w:p w14:paraId="39BE552C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账号：</w:t>
      </w:r>
    </w:p>
    <w:p w14:paraId="151C1E8D"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电话：</w:t>
      </w:r>
    </w:p>
    <w:bookmarkEnd w:id="0"/>
    <w:p w14:paraId="0BD7C751">
      <w:pPr>
        <w:rPr>
          <w:rFonts w:hint="default"/>
          <w:lang w:val="en-US" w:eastAsia="zh-CN"/>
        </w:rPr>
      </w:pPr>
    </w:p>
    <w:p w14:paraId="56992175">
      <w:pPr>
        <w:rPr>
          <w:rFonts w:hint="default"/>
          <w:lang w:val="en-US" w:eastAsia="zh-CN"/>
        </w:rPr>
      </w:pPr>
    </w:p>
    <w:p w14:paraId="4FE1E0E8">
      <w:pPr>
        <w:rPr>
          <w:rFonts w:hint="default"/>
          <w:lang w:val="en-US" w:eastAsia="zh-CN"/>
        </w:rPr>
      </w:pPr>
    </w:p>
    <w:p w14:paraId="19CBE926">
      <w:pPr>
        <w:rPr>
          <w:rFonts w:hint="default"/>
          <w:lang w:val="en-US" w:eastAsia="zh-CN"/>
        </w:rPr>
      </w:pPr>
    </w:p>
    <w:p w14:paraId="0F7D8286">
      <w:pPr>
        <w:rPr>
          <w:rFonts w:hint="default"/>
          <w:lang w:val="en-US" w:eastAsia="zh-CN"/>
        </w:rPr>
      </w:pPr>
    </w:p>
    <w:p w14:paraId="2905148E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附件</w:t>
      </w:r>
    </w:p>
    <w:p w14:paraId="0424A1F9">
      <w:pPr>
        <w:jc w:val="center"/>
        <w:rPr>
          <w:rFonts w:hint="eastAsia"/>
          <w:b/>
          <w:bCs/>
          <w:sz w:val="40"/>
          <w:szCs w:val="36"/>
          <w:lang w:val="en-US" w:eastAsia="zh-CN"/>
        </w:rPr>
      </w:pPr>
      <w:r>
        <w:rPr>
          <w:rFonts w:hint="eastAsia"/>
          <w:b/>
          <w:bCs/>
          <w:sz w:val="40"/>
          <w:szCs w:val="36"/>
          <w:lang w:val="en-US" w:eastAsia="zh-CN"/>
        </w:rPr>
        <w:t>考核表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714"/>
        <w:gridCol w:w="1028"/>
        <w:gridCol w:w="3325"/>
        <w:gridCol w:w="1789"/>
      </w:tblGrid>
      <w:tr w14:paraId="34E1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 w14:paraId="7E57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4" w:type="dxa"/>
          </w:tcPr>
          <w:p w14:paraId="3286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028" w:type="dxa"/>
            <w:shd w:val="clear" w:color="auto" w:fill="auto"/>
            <w:vAlign w:val="top"/>
          </w:tcPr>
          <w:p w14:paraId="7FF17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3325" w:type="dxa"/>
          </w:tcPr>
          <w:p w14:paraId="04F0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扣分标准</w:t>
            </w:r>
          </w:p>
        </w:tc>
        <w:tc>
          <w:tcPr>
            <w:tcW w:w="1789" w:type="dxa"/>
          </w:tcPr>
          <w:p w14:paraId="21A7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实得分</w:t>
            </w:r>
          </w:p>
        </w:tc>
      </w:tr>
      <w:tr w14:paraId="59ED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5A7A6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4" w:type="dxa"/>
            <w:vAlign w:val="center"/>
          </w:tcPr>
          <w:p w14:paraId="29F7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清运</w:t>
            </w:r>
          </w:p>
          <w:p w14:paraId="76FC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准时性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FD8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325" w:type="dxa"/>
            <w:vAlign w:val="center"/>
          </w:tcPr>
          <w:p w14:paraId="425B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接到通知后应在2天内进行垃圾清运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，无延误。每发生1次延误扣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0.5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1789" w:type="dxa"/>
            <w:vAlign w:val="center"/>
          </w:tcPr>
          <w:p w14:paraId="54C3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2257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7118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46F6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清运过程</w:t>
            </w:r>
          </w:p>
          <w:p w14:paraId="4220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打扫及时性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6037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3325" w:type="dxa"/>
            <w:vAlign w:val="center"/>
          </w:tcPr>
          <w:p w14:paraId="0D23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垃圾无遗漏、无散落。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清运后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每发现1处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垃圾散落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扣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0.5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1789" w:type="dxa"/>
            <w:vAlign w:val="center"/>
          </w:tcPr>
          <w:p w14:paraId="793FA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388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5F3E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2FE2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单据与记录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733C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325" w:type="dxa"/>
            <w:vAlign w:val="center"/>
          </w:tcPr>
          <w:p w14:paraId="7993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垃圾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清运时，进出场记录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票据按要求填写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每发现一处不合格扣0.5分</w:t>
            </w:r>
          </w:p>
        </w:tc>
        <w:tc>
          <w:tcPr>
            <w:tcW w:w="1789" w:type="dxa"/>
            <w:vAlign w:val="center"/>
          </w:tcPr>
          <w:p w14:paraId="57DA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0BC5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63A7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50C5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应急响应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06D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325" w:type="dxa"/>
            <w:vAlign w:val="center"/>
          </w:tcPr>
          <w:p w14:paraId="5ED46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对突发大量垃圾或特殊情况，能及时响应并配合处理。推诿或无法响应每次扣</w:t>
            </w: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  <w:t>分</w:t>
            </w:r>
          </w:p>
        </w:tc>
        <w:tc>
          <w:tcPr>
            <w:tcW w:w="1789" w:type="dxa"/>
            <w:vAlign w:val="center"/>
          </w:tcPr>
          <w:p w14:paraId="3DE90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2A3A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 w14:paraId="54B2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14" w:type="dxa"/>
            <w:vAlign w:val="center"/>
          </w:tcPr>
          <w:p w14:paraId="28BF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单次清运装载量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49A54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325" w:type="dxa"/>
            <w:vAlign w:val="center"/>
          </w:tcPr>
          <w:p w14:paraId="69AD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清运车辆应为空车进厂，满车出场，如发现一次问题，扣0.5分</w:t>
            </w:r>
          </w:p>
        </w:tc>
        <w:tc>
          <w:tcPr>
            <w:tcW w:w="1789" w:type="dxa"/>
            <w:vAlign w:val="center"/>
          </w:tcPr>
          <w:p w14:paraId="0274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7763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 w14:paraId="6F0D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14" w:type="dxa"/>
          </w:tcPr>
          <w:p w14:paraId="23F1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38CD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3325" w:type="dxa"/>
            <w:vAlign w:val="center"/>
          </w:tcPr>
          <w:p w14:paraId="5B6A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6265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</w:p>
        </w:tc>
      </w:tr>
      <w:tr w14:paraId="60B8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803" w:type="dxa"/>
            <w:gridSpan w:val="2"/>
          </w:tcPr>
          <w:p w14:paraId="65FA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考核组签名</w:t>
            </w:r>
          </w:p>
        </w:tc>
        <w:tc>
          <w:tcPr>
            <w:tcW w:w="6142" w:type="dxa"/>
            <w:gridSpan w:val="3"/>
            <w:vAlign w:val="center"/>
          </w:tcPr>
          <w:p w14:paraId="40DA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组长：             成员：</w:t>
            </w:r>
          </w:p>
        </w:tc>
      </w:tr>
      <w:tr w14:paraId="47E5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5" w:type="dxa"/>
            <w:gridSpan w:val="5"/>
          </w:tcPr>
          <w:p w14:paraId="4610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vertAlign w:val="baseline"/>
                <w:lang w:val="en-US" w:eastAsia="zh-CN"/>
              </w:rPr>
              <w:t>注：每年考核一次，如服务单位分数在80分以上，视为考核合格，可选择续签。</w:t>
            </w:r>
          </w:p>
        </w:tc>
      </w:tr>
    </w:tbl>
    <w:p w14:paraId="6F079353">
      <w:pPr>
        <w:rPr>
          <w:rFonts w:hint="default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604A41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29D618D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1133</Words>
  <Characters>1149</Characters>
  <Lines>0</Lines>
  <Paragraphs>0</Paragraphs>
  <TotalTime>0</TotalTime>
  <ScaleCrop>false</ScaleCrop>
  <LinksUpToDate>false</LinksUpToDate>
  <CharactersWithSpaces>1204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2026-01-28T07:31:57Z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