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164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left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</w:t>
      </w:r>
    </w:p>
    <w:p w14:paraId="716127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right"/>
        <w:rPr>
          <w:rFonts w:hint="default" w:ascii="Times New Roman" w:hAnsi="Times New Roman" w:eastAsia="仿宋" w:cs="Times New Roman"/>
          <w:b/>
          <w:sz w:val="52"/>
          <w:szCs w:val="5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/>
          <w:sz w:val="28"/>
          <w:szCs w:val="28"/>
        </w:rPr>
        <w:t>合同编号：</w:t>
      </w:r>
      <w:r>
        <w:rPr>
          <w:rFonts w:hint="default" w:ascii="Times New Roman" w:hAnsi="Times New Roman" w:eastAsia="方正仿宋简体" w:cs="Times New Roman"/>
          <w:b w:val="0"/>
          <w:bCs/>
          <w:sz w:val="28"/>
          <w:szCs w:val="28"/>
          <w:lang w:val="en-US" w:eastAsia="zh-CN"/>
        </w:rPr>
        <w:t>YHWL-CGHT</w:t>
      </w:r>
      <w:r>
        <w:rPr>
          <w:rFonts w:hint="eastAsia" w:eastAsia="方正仿宋简体" w:cs="Times New Roman"/>
          <w:b w:val="0"/>
          <w:bCs/>
          <w:sz w:val="28"/>
          <w:szCs w:val="28"/>
          <w:lang w:val="en-US" w:eastAsia="zh-CN"/>
        </w:rPr>
        <w:t>XX</w:t>
      </w:r>
    </w:p>
    <w:p w14:paraId="1A85875F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B694752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4CD2D06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079A96E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广汉市弘诚金雁宾馆有限责任公司</w:t>
      </w:r>
    </w:p>
    <w:p w14:paraId="34499A89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关于采购金雁宾馆有害生物防治</w:t>
      </w:r>
    </w:p>
    <w:p w14:paraId="51A25E09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服务合同</w:t>
      </w:r>
    </w:p>
    <w:p w14:paraId="2918E2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both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</w:p>
    <w:p w14:paraId="0BC825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contextualSpacing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90E77FF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both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72D0B129">
      <w:pP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728061B2">
      <w:pP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47F2813E">
      <w:pP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1A65A926">
      <w:pP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2DD77244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firstLine="0" w:firstLineChars="0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42B34B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contextualSpacing/>
        <w:rPr>
          <w:rFonts w:hint="default" w:ascii="Times New Roman" w:hAnsi="Times New Roman" w:eastAsia="方正仿宋简体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甲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 方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买方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</w:t>
      </w:r>
      <w:r>
        <w:rPr>
          <w:rFonts w:hint="eastAsia" w:eastAsia="方正仿宋简体" w:cs="Times New Roman"/>
          <w:sz w:val="32"/>
          <w:szCs w:val="32"/>
          <w:u w:val="single"/>
          <w:lang w:val="en-US" w:eastAsia="zh-CN"/>
        </w:rPr>
        <w:t>广汉市弘诚金雁宾馆有限责任公司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 </w:t>
      </w:r>
    </w:p>
    <w:p w14:paraId="17885545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both"/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乙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 xml:space="preserve"> 方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eastAsia="zh-CN"/>
        </w:rPr>
        <w:t>（</w:t>
      </w:r>
      <w:r>
        <w:rPr>
          <w:rFonts w:hint="eastAsia" w:eastAsia="方正仿宋简体" w:cs="Times New Roman"/>
          <w:color w:val="auto"/>
          <w:sz w:val="32"/>
          <w:szCs w:val="32"/>
          <w:lang w:val="en-US" w:eastAsia="zh-CN"/>
        </w:rPr>
        <w:t>服务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方</w:t>
      </w:r>
      <w:r>
        <w:rPr>
          <w:rFonts w:hint="eastAsia" w:eastAsia="方正仿宋简体" w:cs="Times New Roman"/>
          <w:color w:val="auto"/>
          <w:sz w:val="32"/>
          <w:szCs w:val="32"/>
          <w:lang w:val="en-US" w:eastAsia="zh-CN"/>
        </w:rPr>
        <w:t>）：</w:t>
      </w: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       </w:t>
      </w:r>
    </w:p>
    <w:p w14:paraId="0A3EAD6A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left"/>
        <w:rPr>
          <w:rFonts w:hint="default" w:ascii="Times New Roman" w:hAnsi="Times New Roman" w:cs="Times New Roman"/>
          <w:color w:val="auto"/>
          <w:lang w:val="en-US" w:eastAsia="zh-CN"/>
        </w:rPr>
        <w:sectPr>
          <w:headerReference r:id="rId3" w:type="default"/>
          <w:footerReference r:id="rId4" w:type="default"/>
          <w:footerReference r:id="rId5" w:type="even"/>
          <w:pgSz w:w="11900" w:h="16840"/>
          <w:pgMar w:top="2098" w:right="1531" w:bottom="1587" w:left="1531" w:header="851" w:footer="992" w:gutter="0"/>
          <w:pgNumType w:fmt="decimal" w:start="1"/>
          <w:cols w:space="720" w:num="1"/>
          <w:docGrid w:type="lines" w:linePitch="423" w:charSpace="0"/>
        </w:sectPr>
      </w:pPr>
    </w:p>
    <w:p w14:paraId="0DA225C5">
      <w:pPr>
        <w:pageBreakBefore w:val="0"/>
        <w:kinsoku/>
        <w:wordWrap w:val="0"/>
        <w:overflowPunct/>
        <w:topLinePunct/>
        <w:autoSpaceDE/>
        <w:autoSpaceDN/>
        <w:bidi w:val="0"/>
        <w:adjustRightInd/>
        <w:snapToGrid/>
        <w:spacing w:line="540" w:lineRule="exact"/>
        <w:ind w:firstLine="640" w:firstLineChars="200"/>
        <w:rPr>
          <w:rFonts w:hint="default" w:ascii="Times New Roman" w:hAnsi="Times New Roman" w:eastAsia="方正仿宋简体" w:cs="Times New Roman"/>
          <w:color w:val="333333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333333"/>
          <w:kern w:val="0"/>
          <w:sz w:val="32"/>
          <w:szCs w:val="32"/>
        </w:rPr>
        <w:t>根据《中华人民共和国民法典》和全国爱卫会、卫生部联合下发的《病媒生物预防控制管理规定》，经甲、乙双方协商，就甲方委托乙方防治有害生物服务事宜，签订以下服务合同，供双方共同遵守。</w:t>
      </w:r>
    </w:p>
    <w:p w14:paraId="0FDDBA87">
      <w:pPr>
        <w:bidi w:val="0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宋体" w:cs="Times New Roman"/>
          <w:b/>
          <w:bCs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方正黑体简体" w:cs="Times New Roman"/>
          <w:sz w:val="32"/>
          <w:szCs w:val="32"/>
        </w:rPr>
        <w:t>防治服务目标、服务方式</w:t>
      </w:r>
    </w:p>
    <w:p w14:paraId="7B63BF5D">
      <w:pPr>
        <w:pageBreakBefore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540" w:lineRule="exact"/>
        <w:ind w:leftChars="0" w:firstLine="640" w:firstLineChars="200"/>
        <w:rPr>
          <w:rFonts w:hint="default" w:ascii="Times New Roman" w:hAnsi="Times New Roman" w:eastAsia="方正仿宋简体" w:cs="Times New Roman"/>
          <w:color w:val="333333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333333"/>
          <w:kern w:val="0"/>
          <w:sz w:val="32"/>
          <w:szCs w:val="32"/>
          <w:lang w:val="en-US" w:eastAsia="zh-CN"/>
        </w:rPr>
        <w:t>1、</w:t>
      </w:r>
      <w:r>
        <w:rPr>
          <w:rFonts w:hint="default" w:ascii="Times New Roman" w:hAnsi="Times New Roman" w:eastAsia="方正仿宋简体" w:cs="Times New Roman"/>
          <w:color w:val="333333"/>
          <w:kern w:val="0"/>
          <w:sz w:val="32"/>
          <w:szCs w:val="32"/>
        </w:rPr>
        <w:t>乙方根据甲方单位的特点和防治种类采取规范、综合防治措施，有效降低和控制卫生虫害密度并达到合同约定的密度控制水平。</w:t>
      </w:r>
    </w:p>
    <w:p w14:paraId="6845F415">
      <w:pPr>
        <w:pageBreakBefore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540" w:lineRule="exact"/>
        <w:ind w:leftChars="0" w:firstLine="640" w:firstLineChars="200"/>
        <w:rPr>
          <w:rFonts w:hint="default" w:ascii="Times New Roman" w:hAnsi="Times New Roman" w:eastAsia="方正仿宋简体" w:cs="Times New Roman"/>
          <w:color w:val="333333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333333"/>
          <w:kern w:val="0"/>
          <w:sz w:val="32"/>
          <w:szCs w:val="32"/>
          <w:lang w:val="en-US" w:eastAsia="zh-CN"/>
        </w:rPr>
        <w:t>2、</w:t>
      </w:r>
      <w:r>
        <w:rPr>
          <w:rFonts w:hint="default" w:ascii="Times New Roman" w:hAnsi="Times New Roman" w:eastAsia="方正仿宋简体" w:cs="Times New Roman"/>
          <w:color w:val="333333"/>
          <w:kern w:val="0"/>
          <w:sz w:val="32"/>
          <w:szCs w:val="32"/>
        </w:rPr>
        <w:t>乙方派出专业防治技术人员，实施病媒生物控制国家标准规定的三防设施建设和完善。</w:t>
      </w:r>
    </w:p>
    <w:p w14:paraId="06F1FDFA">
      <w:pPr>
        <w:bidi w:val="0"/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  <w:t>二、防治对象、范围</w:t>
      </w:r>
    </w:p>
    <w:p w14:paraId="375953CB">
      <w:pPr>
        <w:pageBreakBefore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rPr>
          <w:rFonts w:hint="default" w:ascii="Times New Roman" w:hAnsi="Times New Roman" w:eastAsia="方正仿宋简体" w:cs="Times New Roman"/>
          <w:color w:val="333333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333333"/>
          <w:kern w:val="0"/>
          <w:sz w:val="32"/>
          <w:szCs w:val="32"/>
          <w:lang w:val="en-US" w:eastAsia="zh-CN" w:bidi="ar-SA"/>
        </w:rPr>
        <w:t>1、</w:t>
      </w:r>
      <w:r>
        <w:rPr>
          <w:rFonts w:hint="default" w:ascii="Times New Roman" w:hAnsi="Times New Roman" w:eastAsia="方正仿宋简体" w:cs="Times New Roman"/>
          <w:color w:val="333333"/>
          <w:kern w:val="0"/>
          <w:sz w:val="32"/>
          <w:szCs w:val="32"/>
        </w:rPr>
        <w:t>防治靶标害虫种类：</w:t>
      </w:r>
      <w:r>
        <w:rPr>
          <w:rFonts w:hint="default" w:ascii="Times New Roman" w:hAnsi="Times New Roman" w:eastAsia="方正仿宋简体" w:cs="Times New Roman"/>
          <w:color w:val="333333"/>
          <w:kern w:val="0"/>
          <w:sz w:val="32"/>
          <w:szCs w:val="32"/>
          <w:u w:val="single"/>
        </w:rPr>
        <w:t>蟑螂，鼠类，苍蝇，蚊虫</w:t>
      </w:r>
      <w:r>
        <w:rPr>
          <w:rFonts w:hint="eastAsia" w:eastAsia="方正仿宋简体" w:cs="Times New Roman"/>
          <w:color w:val="333333"/>
          <w:kern w:val="0"/>
          <w:sz w:val="32"/>
          <w:szCs w:val="32"/>
          <w:u w:val="single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color w:val="333333"/>
          <w:kern w:val="0"/>
          <w:sz w:val="32"/>
          <w:szCs w:val="32"/>
          <w:u w:val="single"/>
        </w:rPr>
        <w:t>蛇</w:t>
      </w:r>
      <w:r>
        <w:rPr>
          <w:rFonts w:hint="eastAsia" w:eastAsia="方正仿宋简体" w:cs="Times New Roman"/>
          <w:color w:val="333333"/>
          <w:kern w:val="0"/>
          <w:sz w:val="32"/>
          <w:szCs w:val="32"/>
          <w:u w:val="single"/>
          <w:lang w:val="en-US" w:eastAsia="zh-CN"/>
        </w:rPr>
        <w:t>等</w:t>
      </w:r>
      <w:r>
        <w:rPr>
          <w:rFonts w:hint="default" w:ascii="Times New Roman" w:hAnsi="Times New Roman" w:eastAsia="方正仿宋简体" w:cs="Times New Roman"/>
          <w:color w:val="333333"/>
          <w:kern w:val="0"/>
          <w:sz w:val="32"/>
          <w:szCs w:val="32"/>
        </w:rPr>
        <w:t>。若甲方发生非靶标害虫孳生、骚扰，乙方应免费提供虫害咨询和防治方案，防治费用双方另行协商，不包含在本合同中。</w:t>
      </w:r>
    </w:p>
    <w:p w14:paraId="07A01F6C">
      <w:pPr>
        <w:pageBreakBefore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rPr>
          <w:rFonts w:hint="eastAsia" w:ascii="Times New Roman" w:hAnsi="Times New Roman" w:eastAsia="方正仿宋简体" w:cs="Times New Roman"/>
          <w:color w:val="333333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color w:val="333333"/>
          <w:kern w:val="0"/>
          <w:sz w:val="32"/>
          <w:szCs w:val="32"/>
          <w:lang w:val="en-US" w:eastAsia="zh-CN" w:bidi="ar-SA"/>
        </w:rPr>
        <w:t>2、</w:t>
      </w:r>
      <w:r>
        <w:rPr>
          <w:rFonts w:hint="default" w:ascii="Times New Roman" w:hAnsi="Times New Roman" w:eastAsia="方正仿宋简体" w:cs="Times New Roman"/>
          <w:color w:val="333333"/>
          <w:kern w:val="0"/>
          <w:sz w:val="32"/>
          <w:szCs w:val="32"/>
        </w:rPr>
        <w:t>防治范围是</w:t>
      </w:r>
      <w:r>
        <w:rPr>
          <w:rFonts w:hint="eastAsia" w:eastAsia="方正仿宋简体" w:cs="Times New Roman"/>
          <w:color w:val="333333"/>
          <w:kern w:val="0"/>
          <w:sz w:val="32"/>
          <w:szCs w:val="32"/>
          <w:u w:val="single"/>
          <w:lang w:val="en-US" w:eastAsia="zh-CN"/>
        </w:rPr>
        <w:t>金雁宾馆</w:t>
      </w:r>
      <w:r>
        <w:rPr>
          <w:rFonts w:hint="default" w:ascii="Times New Roman" w:hAnsi="Times New Roman" w:eastAsia="方正仿宋简体" w:cs="Times New Roman"/>
          <w:color w:val="333333"/>
          <w:kern w:val="0"/>
          <w:sz w:val="32"/>
          <w:szCs w:val="32"/>
        </w:rPr>
        <w:t>场所室内空间和所属外环境。防治面积：_</w:t>
      </w:r>
      <w:r>
        <w:rPr>
          <w:rFonts w:hint="eastAsia" w:eastAsia="方正仿宋简体" w:cs="Times New Roman"/>
          <w:color w:val="333333"/>
          <w:kern w:val="0"/>
          <w:sz w:val="32"/>
          <w:szCs w:val="32"/>
          <w:u w:val="single"/>
          <w:lang w:val="en-US" w:eastAsia="zh-CN"/>
        </w:rPr>
        <w:t>12513.08</w:t>
      </w:r>
      <w:r>
        <w:rPr>
          <w:rFonts w:hint="default" w:ascii="Times New Roman" w:hAnsi="Times New Roman" w:eastAsia="方正仿宋简体" w:cs="Times New Roman"/>
          <w:color w:val="333333"/>
          <w:kern w:val="0"/>
          <w:sz w:val="32"/>
          <w:szCs w:val="32"/>
        </w:rPr>
        <w:t>平方米，</w:t>
      </w:r>
      <w:r>
        <w:rPr>
          <w:rFonts w:hint="default" w:ascii="Times New Roman" w:hAnsi="Times New Roman" w:eastAsia="方正仿宋简体" w:cs="Times New Roman"/>
          <w:color w:val="333333"/>
          <w:kern w:val="0"/>
          <w:sz w:val="32"/>
          <w:szCs w:val="32"/>
          <w:u w:val="none"/>
        </w:rPr>
        <w:t>含</w:t>
      </w:r>
      <w:r>
        <w:rPr>
          <w:rFonts w:hint="default" w:ascii="Times New Roman" w:hAnsi="Times New Roman" w:eastAsia="方正仿宋简体" w:cs="Times New Roman"/>
          <w:color w:val="333333"/>
          <w:kern w:val="0"/>
          <w:sz w:val="32"/>
          <w:szCs w:val="32"/>
        </w:rPr>
        <w:t>地下室、建筑屋顶等附属设施</w:t>
      </w:r>
      <w:r>
        <w:rPr>
          <w:rFonts w:hint="eastAsia" w:eastAsia="方正仿宋简体" w:cs="Times New Roman"/>
          <w:color w:val="333333"/>
          <w:kern w:val="0"/>
          <w:sz w:val="32"/>
          <w:szCs w:val="32"/>
          <w:lang w:val="en-US" w:eastAsia="zh-CN"/>
        </w:rPr>
        <w:t>及周</w:t>
      </w:r>
      <w:r>
        <w:rPr>
          <w:rFonts w:hint="default" w:ascii="Times New Roman" w:hAnsi="Times New Roman" w:eastAsia="方正仿宋简体" w:cs="Times New Roman"/>
          <w:color w:val="333333"/>
          <w:kern w:val="0"/>
          <w:sz w:val="32"/>
          <w:szCs w:val="32"/>
        </w:rPr>
        <w:t>围所属的广场、绿地</w:t>
      </w:r>
      <w:r>
        <w:rPr>
          <w:rFonts w:hint="eastAsia" w:eastAsia="方正仿宋简体" w:cs="Times New Roman"/>
          <w:color w:val="333333"/>
          <w:kern w:val="0"/>
          <w:sz w:val="32"/>
          <w:szCs w:val="32"/>
          <w:lang w:eastAsia="zh-CN"/>
        </w:rPr>
        <w:t>。</w:t>
      </w:r>
    </w:p>
    <w:p w14:paraId="0274AC11">
      <w:pPr>
        <w:bidi w:val="0"/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  <w:t>三、消杀标准及服务频率</w:t>
      </w:r>
    </w:p>
    <w:p w14:paraId="3CA450E1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495" w:lineRule="atLeast"/>
        <w:ind w:right="0" w:rightChars="0" w:firstLine="644" w:firstLineChars="200"/>
        <w:jc w:val="both"/>
        <w:textAlignment w:val="baseline"/>
        <w:rPr>
          <w:rFonts w:hint="eastAsia" w:ascii="方正楷体简体" w:hAnsi="方正楷体简体" w:eastAsia="方正楷体简体" w:cs="方正楷体简体"/>
          <w:b w:val="0"/>
          <w:bCs w:val="0"/>
          <w:snapToGrid w:val="0"/>
          <w:color w:val="000000"/>
          <w:spacing w:val="1"/>
          <w:kern w:val="0"/>
          <w:position w:val="1"/>
          <w:sz w:val="32"/>
          <w:szCs w:val="32"/>
          <w:lang w:val="en-US" w:eastAsia="zh-CN" w:bidi="ar-SA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napToGrid w:val="0"/>
          <w:color w:val="000000"/>
          <w:spacing w:val="1"/>
          <w:kern w:val="0"/>
          <w:position w:val="1"/>
          <w:sz w:val="32"/>
          <w:szCs w:val="32"/>
          <w:lang w:val="en-US" w:eastAsia="zh-CN" w:bidi="ar-SA"/>
        </w:rPr>
        <w:t>（一）服务频率</w:t>
      </w:r>
    </w:p>
    <w:tbl>
      <w:tblPr>
        <w:tblStyle w:val="11"/>
        <w:tblpPr w:leftFromText="180" w:rightFromText="180" w:vertAnchor="text" w:tblpX="74" w:tblpY="1"/>
        <w:tblOverlap w:val="never"/>
        <w:tblW w:w="82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9"/>
        <w:gridCol w:w="2634"/>
        <w:gridCol w:w="3365"/>
      </w:tblGrid>
      <w:tr w14:paraId="7C040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2279" w:type="dxa"/>
            <w:noWrap w:val="0"/>
            <w:vAlign w:val="center"/>
          </w:tcPr>
          <w:p w14:paraId="2510BC70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  <w:t>防制区域</w:t>
            </w:r>
          </w:p>
        </w:tc>
        <w:tc>
          <w:tcPr>
            <w:tcW w:w="2634" w:type="dxa"/>
            <w:noWrap w:val="0"/>
            <w:vAlign w:val="center"/>
          </w:tcPr>
          <w:p w14:paraId="34B92B4E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  <w:t>服务频率（4-1</w:t>
            </w: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  <w:t>月）</w:t>
            </w:r>
          </w:p>
        </w:tc>
        <w:tc>
          <w:tcPr>
            <w:tcW w:w="3365" w:type="dxa"/>
            <w:noWrap w:val="0"/>
            <w:vAlign w:val="center"/>
          </w:tcPr>
          <w:p w14:paraId="768016EE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  <w:t>服务频率（12月-次年3月）</w:t>
            </w:r>
          </w:p>
        </w:tc>
      </w:tr>
      <w:tr w14:paraId="7D13F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2279" w:type="dxa"/>
            <w:noWrap w:val="0"/>
            <w:vAlign w:val="center"/>
          </w:tcPr>
          <w:p w14:paraId="085E0EF7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  <w:t>客房区域</w:t>
            </w:r>
            <w:r>
              <w:rPr>
                <w:rFonts w:hint="eastAsia" w:eastAsia="方正仿宋简体" w:cs="Times New Roman"/>
                <w:b w:val="0"/>
                <w:bCs/>
                <w:color w:val="000000"/>
                <w:kern w:val="0"/>
                <w:szCs w:val="21"/>
                <w:lang w:val="en-US" w:eastAsia="zh-CN"/>
              </w:rPr>
              <w:t>60</w:t>
            </w: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  <w:lang w:val="en-US" w:eastAsia="zh-CN"/>
              </w:rPr>
              <w:t>间</w:t>
            </w:r>
          </w:p>
          <w:p w14:paraId="3CFF57C6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  <w:t>布草间、</w:t>
            </w:r>
          </w:p>
          <w:p w14:paraId="74D81F28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  <w:t>管道井、后勤区</w:t>
            </w:r>
          </w:p>
        </w:tc>
        <w:tc>
          <w:tcPr>
            <w:tcW w:w="2634" w:type="dxa"/>
            <w:noWrap w:val="0"/>
            <w:vAlign w:val="center"/>
          </w:tcPr>
          <w:p w14:paraId="21606077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  <w:t>服务</w:t>
            </w:r>
            <w:r>
              <w:rPr>
                <w:rFonts w:hint="eastAsia" w:eastAsia="方正仿宋简体" w:cs="Times New Roman"/>
                <w:b w:val="0"/>
                <w:bCs/>
                <w:color w:val="000000"/>
                <w:kern w:val="0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  <w:t>次/月</w:t>
            </w:r>
          </w:p>
        </w:tc>
        <w:tc>
          <w:tcPr>
            <w:tcW w:w="3365" w:type="dxa"/>
            <w:noWrap w:val="0"/>
            <w:vAlign w:val="center"/>
          </w:tcPr>
          <w:p w14:paraId="4F1EC86F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  <w:t>服务</w:t>
            </w:r>
            <w:r>
              <w:rPr>
                <w:rFonts w:hint="eastAsia" w:eastAsia="方正仿宋简体" w:cs="Times New Roman"/>
                <w:b w:val="0"/>
                <w:bCs/>
                <w:color w:val="000000"/>
                <w:kern w:val="0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  <w:t>次/月</w:t>
            </w:r>
          </w:p>
        </w:tc>
      </w:tr>
      <w:tr w14:paraId="71C31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2279" w:type="dxa"/>
            <w:noWrap w:val="0"/>
            <w:vAlign w:val="center"/>
          </w:tcPr>
          <w:p w14:paraId="66265EC0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  <w:t xml:space="preserve"> 餐饮区域：</w:t>
            </w:r>
          </w:p>
          <w:p w14:paraId="6632F59F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  <w:lang w:eastAsia="zh-CN"/>
              </w:rPr>
              <w:t>餐厅、厨房</w:t>
            </w:r>
          </w:p>
        </w:tc>
        <w:tc>
          <w:tcPr>
            <w:tcW w:w="2634" w:type="dxa"/>
            <w:noWrap w:val="0"/>
            <w:vAlign w:val="center"/>
          </w:tcPr>
          <w:p w14:paraId="5A34AA8F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  <w:t>服务</w:t>
            </w:r>
            <w:r>
              <w:rPr>
                <w:rFonts w:hint="eastAsia" w:eastAsia="方正仿宋简体" w:cs="Times New Roman"/>
                <w:b w:val="0"/>
                <w:bCs/>
                <w:color w:val="000000"/>
                <w:kern w:val="0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  <w:t>次/月</w:t>
            </w:r>
          </w:p>
        </w:tc>
        <w:tc>
          <w:tcPr>
            <w:tcW w:w="3365" w:type="dxa"/>
            <w:noWrap w:val="0"/>
            <w:vAlign w:val="center"/>
          </w:tcPr>
          <w:p w14:paraId="046AB149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  <w:t>服务</w:t>
            </w:r>
            <w:r>
              <w:rPr>
                <w:rFonts w:hint="eastAsia" w:eastAsia="方正仿宋简体" w:cs="Times New Roman"/>
                <w:b w:val="0"/>
                <w:bCs/>
                <w:color w:val="000000"/>
                <w:kern w:val="0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  <w:t>次/月</w:t>
            </w:r>
          </w:p>
        </w:tc>
      </w:tr>
      <w:tr w14:paraId="7C856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4" w:hRule="atLeast"/>
        </w:trPr>
        <w:tc>
          <w:tcPr>
            <w:tcW w:w="2279" w:type="dxa"/>
            <w:noWrap w:val="0"/>
            <w:vAlign w:val="center"/>
          </w:tcPr>
          <w:p w14:paraId="7FE1DC4F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  <w:t xml:space="preserve">  公共区域：</w:t>
            </w:r>
          </w:p>
          <w:p w14:paraId="768DBE66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  <w:t>管道井、污水井</w:t>
            </w:r>
          </w:p>
          <w:p w14:paraId="4898A52D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  <w:t>卫生间、垃圾房、</w:t>
            </w:r>
          </w:p>
          <w:p w14:paraId="29102E40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  <w:t>垃圾桶</w:t>
            </w: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  <w:lang w:eastAsia="zh-CN"/>
              </w:rPr>
              <w:t>、</w:t>
            </w:r>
          </w:p>
          <w:p w14:paraId="1356DF39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  <w:t>机房、配电间</w:t>
            </w:r>
          </w:p>
          <w:p w14:paraId="47D0E50A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  <w:t>窨井、停车场</w:t>
            </w:r>
          </w:p>
          <w:p w14:paraId="2C5077F7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  <w:t>楼层通道、盆景</w:t>
            </w:r>
          </w:p>
        </w:tc>
        <w:tc>
          <w:tcPr>
            <w:tcW w:w="2634" w:type="dxa"/>
            <w:noWrap w:val="0"/>
            <w:vAlign w:val="center"/>
          </w:tcPr>
          <w:p w14:paraId="179B7674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  <w:t>服务</w:t>
            </w:r>
            <w:r>
              <w:rPr>
                <w:rFonts w:hint="eastAsia" w:eastAsia="方正仿宋简体" w:cs="Times New Roman"/>
                <w:b w:val="0"/>
                <w:bCs/>
                <w:color w:val="000000"/>
                <w:kern w:val="0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  <w:t>次/月</w:t>
            </w:r>
          </w:p>
        </w:tc>
        <w:tc>
          <w:tcPr>
            <w:tcW w:w="3365" w:type="dxa"/>
            <w:noWrap w:val="0"/>
            <w:vAlign w:val="center"/>
          </w:tcPr>
          <w:p w14:paraId="14ED46C9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  <w:t>服务</w:t>
            </w:r>
            <w:r>
              <w:rPr>
                <w:rFonts w:hint="eastAsia" w:eastAsia="方正仿宋简体" w:cs="Times New Roman"/>
                <w:b w:val="0"/>
                <w:bCs/>
                <w:color w:val="000000"/>
                <w:kern w:val="0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  <w:t>次/月</w:t>
            </w:r>
          </w:p>
        </w:tc>
      </w:tr>
      <w:tr w14:paraId="414A8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279" w:type="dxa"/>
            <w:noWrap w:val="0"/>
            <w:vAlign w:val="center"/>
          </w:tcPr>
          <w:p w14:paraId="370842F9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  <w:t>酒店外围绿化区域</w:t>
            </w:r>
          </w:p>
        </w:tc>
        <w:tc>
          <w:tcPr>
            <w:tcW w:w="2634" w:type="dxa"/>
            <w:noWrap w:val="0"/>
            <w:vAlign w:val="center"/>
          </w:tcPr>
          <w:p w14:paraId="64F8F79F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  <w:t>服务</w:t>
            </w:r>
            <w:r>
              <w:rPr>
                <w:rFonts w:hint="eastAsia" w:eastAsia="方正仿宋简体" w:cs="Times New Roman"/>
                <w:b w:val="0"/>
                <w:bCs/>
                <w:color w:val="000000"/>
                <w:kern w:val="0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  <w:t>次/月</w:t>
            </w:r>
          </w:p>
        </w:tc>
        <w:tc>
          <w:tcPr>
            <w:tcW w:w="3365" w:type="dxa"/>
            <w:noWrap w:val="0"/>
            <w:vAlign w:val="center"/>
          </w:tcPr>
          <w:p w14:paraId="1E255FB3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  <w:t>服务</w:t>
            </w:r>
            <w:r>
              <w:rPr>
                <w:rFonts w:hint="eastAsia" w:eastAsia="方正仿宋简体" w:cs="Times New Roman"/>
                <w:b w:val="0"/>
                <w:bCs/>
                <w:color w:val="000000"/>
                <w:kern w:val="0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/>
                <w:kern w:val="0"/>
                <w:szCs w:val="21"/>
              </w:rPr>
              <w:t>次/月</w:t>
            </w:r>
          </w:p>
        </w:tc>
      </w:tr>
    </w:tbl>
    <w:p w14:paraId="50B9580B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495" w:lineRule="atLeast"/>
        <w:ind w:right="0" w:rightChars="0" w:firstLine="644" w:firstLineChars="200"/>
        <w:jc w:val="both"/>
        <w:textAlignment w:val="baseline"/>
        <w:rPr>
          <w:rFonts w:hint="eastAsia" w:ascii="方正楷体简体" w:hAnsi="方正楷体简体" w:eastAsia="方正楷体简体" w:cs="方正楷体简体"/>
          <w:b w:val="0"/>
          <w:bCs w:val="0"/>
          <w:snapToGrid w:val="0"/>
          <w:color w:val="000000"/>
          <w:spacing w:val="1"/>
          <w:kern w:val="0"/>
          <w:position w:val="1"/>
          <w:sz w:val="32"/>
          <w:szCs w:val="32"/>
          <w:lang w:val="en-US" w:eastAsia="zh-CN" w:bidi="ar-SA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napToGrid w:val="0"/>
          <w:color w:val="000000"/>
          <w:spacing w:val="1"/>
          <w:kern w:val="0"/>
          <w:position w:val="1"/>
          <w:sz w:val="32"/>
          <w:szCs w:val="32"/>
          <w:lang w:val="en-US" w:eastAsia="zh-CN" w:bidi="ar-SA"/>
        </w:rPr>
        <w:t>（二）各类区域防治明细</w:t>
      </w:r>
    </w:p>
    <w:tbl>
      <w:tblPr>
        <w:tblStyle w:val="11"/>
        <w:tblW w:w="8291" w:type="dxa"/>
        <w:tblInd w:w="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"/>
        <w:gridCol w:w="637"/>
        <w:gridCol w:w="634"/>
        <w:gridCol w:w="885"/>
        <w:gridCol w:w="250"/>
        <w:gridCol w:w="591"/>
        <w:gridCol w:w="1313"/>
        <w:gridCol w:w="3966"/>
      </w:tblGrid>
      <w:tr w14:paraId="3F05D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462" w:hRule="atLeast"/>
        </w:trPr>
        <w:tc>
          <w:tcPr>
            <w:tcW w:w="8276" w:type="dxa"/>
            <w:gridSpan w:val="7"/>
            <w:noWrap w:val="0"/>
            <w:vAlign w:val="center"/>
          </w:tcPr>
          <w:p w14:paraId="3FE0E999">
            <w:pPr>
              <w:rPr>
                <w:rFonts w:hint="default" w:ascii="Times New Roman" w:hAnsi="Times New Roman" w:eastAsia="方正仿宋简体" w:cs="Times New Roman"/>
                <w:b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sz w:val="24"/>
                <w:szCs w:val="24"/>
                <w:lang w:val="en-US" w:eastAsia="zh-CN"/>
              </w:rPr>
              <w:t>区域</w:t>
            </w:r>
            <w:r>
              <w:rPr>
                <w:rFonts w:hint="default" w:ascii="Times New Roman" w:hAnsi="Times New Roman" w:eastAsia="方正仿宋简体" w:cs="Times New Roman"/>
                <w:b w:val="0"/>
                <w:bCs/>
                <w:sz w:val="24"/>
                <w:szCs w:val="24"/>
              </w:rPr>
              <w:t>：餐饮区域</w:t>
            </w:r>
          </w:p>
        </w:tc>
      </w:tr>
      <w:tr w14:paraId="0A447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601" w:hRule="atLeast"/>
        </w:trPr>
        <w:tc>
          <w:tcPr>
            <w:tcW w:w="637" w:type="dxa"/>
            <w:noWrap w:val="0"/>
            <w:vAlign w:val="center"/>
          </w:tcPr>
          <w:p w14:paraId="7B9A9C9C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防治区域</w:t>
            </w:r>
          </w:p>
        </w:tc>
        <w:tc>
          <w:tcPr>
            <w:tcW w:w="1519" w:type="dxa"/>
            <w:gridSpan w:val="2"/>
            <w:noWrap w:val="0"/>
            <w:vAlign w:val="center"/>
          </w:tcPr>
          <w:p w14:paraId="15E5D6A9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防治部位</w:t>
            </w:r>
          </w:p>
        </w:tc>
        <w:tc>
          <w:tcPr>
            <w:tcW w:w="841" w:type="dxa"/>
            <w:gridSpan w:val="2"/>
            <w:noWrap w:val="0"/>
            <w:vAlign w:val="center"/>
          </w:tcPr>
          <w:p w14:paraId="22AB329C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防治对象</w:t>
            </w:r>
          </w:p>
        </w:tc>
        <w:tc>
          <w:tcPr>
            <w:tcW w:w="1313" w:type="dxa"/>
            <w:noWrap w:val="0"/>
            <w:vAlign w:val="center"/>
          </w:tcPr>
          <w:p w14:paraId="779F3F6F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使用药品</w:t>
            </w:r>
          </w:p>
        </w:tc>
        <w:tc>
          <w:tcPr>
            <w:tcW w:w="3966" w:type="dxa"/>
            <w:noWrap w:val="0"/>
            <w:vAlign w:val="center"/>
          </w:tcPr>
          <w:p w14:paraId="33EE6555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操作方法</w:t>
            </w:r>
          </w:p>
        </w:tc>
      </w:tr>
      <w:tr w14:paraId="286C2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897" w:hRule="atLeast"/>
        </w:trPr>
        <w:tc>
          <w:tcPr>
            <w:tcW w:w="637" w:type="dxa"/>
            <w:vMerge w:val="restart"/>
            <w:noWrap w:val="0"/>
            <w:vAlign w:val="center"/>
          </w:tcPr>
          <w:p w14:paraId="63709A42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厨房</w:t>
            </w:r>
          </w:p>
        </w:tc>
        <w:tc>
          <w:tcPr>
            <w:tcW w:w="1519" w:type="dxa"/>
            <w:gridSpan w:val="2"/>
            <w:noWrap w:val="0"/>
            <w:vAlign w:val="center"/>
          </w:tcPr>
          <w:p w14:paraId="0D0079C2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厨房整体区域灭蚊蝇</w:t>
            </w:r>
          </w:p>
        </w:tc>
        <w:tc>
          <w:tcPr>
            <w:tcW w:w="841" w:type="dxa"/>
            <w:gridSpan w:val="2"/>
            <w:noWrap w:val="0"/>
            <w:vAlign w:val="center"/>
          </w:tcPr>
          <w:p w14:paraId="27998A90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蚊蝇</w:t>
            </w:r>
          </w:p>
        </w:tc>
        <w:tc>
          <w:tcPr>
            <w:tcW w:w="1313" w:type="dxa"/>
            <w:noWrap w:val="0"/>
            <w:vAlign w:val="center"/>
          </w:tcPr>
          <w:p w14:paraId="20E77E96">
            <w:pPr>
              <w:jc w:val="center"/>
              <w:rPr>
                <w:rFonts w:hint="default" w:ascii="Times New Roman" w:hAnsi="Times New Roman" w:eastAsia="方正仿宋简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lang w:val="en-US" w:eastAsia="zh-CN"/>
              </w:rPr>
              <w:t>20%呋虫胺</w:t>
            </w:r>
          </w:p>
        </w:tc>
        <w:tc>
          <w:tcPr>
            <w:tcW w:w="3966" w:type="dxa"/>
            <w:noWrap w:val="0"/>
            <w:vAlign w:val="center"/>
          </w:tcPr>
          <w:p w14:paraId="72EAE183">
            <w:pPr>
              <w:jc w:val="left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厨房内部所有物品加盖进行空间喷洒，对经常存在积水的地方投放缓释剂</w:t>
            </w:r>
          </w:p>
        </w:tc>
      </w:tr>
      <w:tr w14:paraId="4E8F6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383" w:hRule="atLeast"/>
        </w:trPr>
        <w:tc>
          <w:tcPr>
            <w:tcW w:w="637" w:type="dxa"/>
            <w:vMerge w:val="continue"/>
            <w:noWrap w:val="0"/>
            <w:vAlign w:val="center"/>
          </w:tcPr>
          <w:p w14:paraId="01BB035B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1519" w:type="dxa"/>
            <w:gridSpan w:val="2"/>
            <w:noWrap w:val="0"/>
            <w:vAlign w:val="center"/>
          </w:tcPr>
          <w:p w14:paraId="59AE51E6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食品仓库</w:t>
            </w:r>
          </w:p>
        </w:tc>
        <w:tc>
          <w:tcPr>
            <w:tcW w:w="841" w:type="dxa"/>
            <w:gridSpan w:val="2"/>
            <w:noWrap w:val="0"/>
            <w:vAlign w:val="center"/>
          </w:tcPr>
          <w:p w14:paraId="571EA36C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鼠类</w:t>
            </w:r>
          </w:p>
        </w:tc>
        <w:tc>
          <w:tcPr>
            <w:tcW w:w="1313" w:type="dxa"/>
            <w:noWrap w:val="0"/>
            <w:vAlign w:val="center"/>
          </w:tcPr>
          <w:p w14:paraId="39BB7849">
            <w:pPr>
              <w:spacing w:line="280" w:lineRule="exact"/>
              <w:jc w:val="center"/>
              <w:rPr>
                <w:rFonts w:hint="eastAsia" w:ascii="Times New Roman" w:hAnsi="Times New Roman" w:eastAsia="方正仿宋简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lang w:val="en-US" w:eastAsia="zh-CN"/>
              </w:rPr>
              <w:t>捕鼠笼</w:t>
            </w:r>
          </w:p>
        </w:tc>
        <w:tc>
          <w:tcPr>
            <w:tcW w:w="3966" w:type="dxa"/>
            <w:noWrap w:val="0"/>
            <w:vAlign w:val="center"/>
          </w:tcPr>
          <w:p w14:paraId="6C93DEC4">
            <w:pPr>
              <w:spacing w:line="280" w:lineRule="exact"/>
              <w:jc w:val="left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沿墙角8米-10米布放一个</w:t>
            </w:r>
          </w:p>
        </w:tc>
      </w:tr>
      <w:tr w14:paraId="338B2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820" w:hRule="atLeast"/>
        </w:trPr>
        <w:tc>
          <w:tcPr>
            <w:tcW w:w="637" w:type="dxa"/>
            <w:vMerge w:val="continue"/>
            <w:noWrap w:val="0"/>
            <w:vAlign w:val="center"/>
          </w:tcPr>
          <w:p w14:paraId="5B7416EE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1519" w:type="dxa"/>
            <w:gridSpan w:val="2"/>
            <w:noWrap w:val="0"/>
            <w:vAlign w:val="center"/>
          </w:tcPr>
          <w:p w14:paraId="7828BED2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天花板</w:t>
            </w:r>
          </w:p>
        </w:tc>
        <w:tc>
          <w:tcPr>
            <w:tcW w:w="841" w:type="dxa"/>
            <w:gridSpan w:val="2"/>
            <w:noWrap w:val="0"/>
            <w:vAlign w:val="center"/>
          </w:tcPr>
          <w:p w14:paraId="41157DB9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鼠类</w:t>
            </w:r>
          </w:p>
        </w:tc>
        <w:tc>
          <w:tcPr>
            <w:tcW w:w="1313" w:type="dxa"/>
            <w:noWrap w:val="0"/>
            <w:vAlign w:val="center"/>
          </w:tcPr>
          <w:p w14:paraId="3B296B9A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强力粘鼠板</w:t>
            </w:r>
          </w:p>
        </w:tc>
        <w:tc>
          <w:tcPr>
            <w:tcW w:w="3966" w:type="dxa"/>
            <w:noWrap w:val="0"/>
            <w:vAlign w:val="center"/>
          </w:tcPr>
          <w:p w14:paraId="1B0DBD12">
            <w:pPr>
              <w:spacing w:line="280" w:lineRule="exact"/>
              <w:jc w:val="left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每15平方米两块，同时检查是否存在结构漏洞，一经发现，将给出建设性意见整改补洞；</w:t>
            </w:r>
          </w:p>
        </w:tc>
      </w:tr>
      <w:tr w14:paraId="7B5C6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601" w:hRule="atLeast"/>
        </w:trPr>
        <w:tc>
          <w:tcPr>
            <w:tcW w:w="637" w:type="dxa"/>
            <w:vMerge w:val="continue"/>
            <w:noWrap w:val="0"/>
            <w:vAlign w:val="center"/>
          </w:tcPr>
          <w:p w14:paraId="6F998BFA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1519" w:type="dxa"/>
            <w:gridSpan w:val="2"/>
            <w:noWrap w:val="0"/>
            <w:vAlign w:val="center"/>
          </w:tcPr>
          <w:p w14:paraId="0A64F60C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地面</w:t>
            </w:r>
          </w:p>
        </w:tc>
        <w:tc>
          <w:tcPr>
            <w:tcW w:w="841" w:type="dxa"/>
            <w:gridSpan w:val="2"/>
            <w:noWrap w:val="0"/>
            <w:vAlign w:val="center"/>
          </w:tcPr>
          <w:p w14:paraId="0465E069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鼠类</w:t>
            </w:r>
          </w:p>
        </w:tc>
        <w:tc>
          <w:tcPr>
            <w:tcW w:w="1313" w:type="dxa"/>
            <w:noWrap w:val="0"/>
            <w:vAlign w:val="center"/>
          </w:tcPr>
          <w:p w14:paraId="348617D4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电子捕鼠设备</w:t>
            </w:r>
          </w:p>
        </w:tc>
        <w:tc>
          <w:tcPr>
            <w:tcW w:w="3966" w:type="dxa"/>
            <w:noWrap w:val="0"/>
            <w:vAlign w:val="center"/>
          </w:tcPr>
          <w:p w14:paraId="3CE70E95">
            <w:pPr>
              <w:jc w:val="left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定期对鼠密度进行检测，一经超标，将适当采取电子捕鼠器灭杀</w:t>
            </w:r>
          </w:p>
        </w:tc>
      </w:tr>
      <w:tr w14:paraId="501B9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601" w:hRule="atLeast"/>
        </w:trPr>
        <w:tc>
          <w:tcPr>
            <w:tcW w:w="637" w:type="dxa"/>
            <w:vMerge w:val="continue"/>
            <w:noWrap w:val="0"/>
            <w:vAlign w:val="center"/>
          </w:tcPr>
          <w:p w14:paraId="42D81FA9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1519" w:type="dxa"/>
            <w:gridSpan w:val="2"/>
            <w:noWrap w:val="0"/>
            <w:vAlign w:val="center"/>
          </w:tcPr>
          <w:p w14:paraId="46690B7A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灶台</w:t>
            </w:r>
          </w:p>
        </w:tc>
        <w:tc>
          <w:tcPr>
            <w:tcW w:w="841" w:type="dxa"/>
            <w:gridSpan w:val="2"/>
            <w:vMerge w:val="restart"/>
            <w:noWrap w:val="0"/>
            <w:vAlign w:val="center"/>
          </w:tcPr>
          <w:p w14:paraId="34C30FA5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蜚蠊</w:t>
            </w:r>
          </w:p>
        </w:tc>
        <w:tc>
          <w:tcPr>
            <w:tcW w:w="1313" w:type="dxa"/>
            <w:noWrap w:val="0"/>
            <w:vAlign w:val="center"/>
          </w:tcPr>
          <w:p w14:paraId="66BC935D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eastAsia" w:ascii="Times New Roman" w:hAnsi="Times New Roman" w:eastAsia="方正仿宋简体" w:cs="Times New Roman"/>
                <w:lang w:val="en-US" w:eastAsia="zh-CN"/>
              </w:rPr>
              <w:t>灭蟑</w:t>
            </w:r>
            <w:r>
              <w:rPr>
                <w:rFonts w:hint="default" w:ascii="Times New Roman" w:hAnsi="Times New Roman" w:eastAsia="方正仿宋简体" w:cs="Times New Roman"/>
              </w:rPr>
              <w:t>胶饵</w:t>
            </w:r>
          </w:p>
        </w:tc>
        <w:tc>
          <w:tcPr>
            <w:tcW w:w="3966" w:type="dxa"/>
            <w:noWrap w:val="0"/>
            <w:vAlign w:val="center"/>
          </w:tcPr>
          <w:p w14:paraId="55055565">
            <w:pPr>
              <w:jc w:val="left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灶台四周下沿点放胶饵，灶台下部喷洒悬浮剂</w:t>
            </w:r>
          </w:p>
        </w:tc>
      </w:tr>
      <w:tr w14:paraId="7CAB0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601" w:hRule="atLeast"/>
        </w:trPr>
        <w:tc>
          <w:tcPr>
            <w:tcW w:w="637" w:type="dxa"/>
            <w:vMerge w:val="continue"/>
            <w:noWrap w:val="0"/>
            <w:vAlign w:val="center"/>
          </w:tcPr>
          <w:p w14:paraId="4BF92E59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1519" w:type="dxa"/>
            <w:gridSpan w:val="2"/>
            <w:noWrap w:val="0"/>
            <w:vAlign w:val="center"/>
          </w:tcPr>
          <w:p w14:paraId="36026C29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储物柜、洗刷台</w:t>
            </w:r>
          </w:p>
        </w:tc>
        <w:tc>
          <w:tcPr>
            <w:tcW w:w="841" w:type="dxa"/>
            <w:gridSpan w:val="2"/>
            <w:vMerge w:val="continue"/>
            <w:noWrap w:val="0"/>
            <w:vAlign w:val="center"/>
          </w:tcPr>
          <w:p w14:paraId="177D6DBA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1313" w:type="dxa"/>
            <w:noWrap w:val="0"/>
            <w:vAlign w:val="center"/>
          </w:tcPr>
          <w:p w14:paraId="77FAFA71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eastAsia" w:ascii="Times New Roman" w:hAnsi="Times New Roman" w:eastAsia="方正仿宋简体" w:cs="Times New Roman"/>
                <w:lang w:val="en-US" w:eastAsia="zh-CN"/>
              </w:rPr>
              <w:t>灭蟑</w:t>
            </w:r>
            <w:r>
              <w:rPr>
                <w:rFonts w:hint="default" w:ascii="Times New Roman" w:hAnsi="Times New Roman" w:eastAsia="方正仿宋简体" w:cs="Times New Roman"/>
              </w:rPr>
              <w:t>胶饵</w:t>
            </w:r>
          </w:p>
        </w:tc>
        <w:tc>
          <w:tcPr>
            <w:tcW w:w="3966" w:type="dxa"/>
            <w:vMerge w:val="restart"/>
            <w:noWrap w:val="0"/>
            <w:vAlign w:val="center"/>
          </w:tcPr>
          <w:p w14:paraId="6DB3DAC7">
            <w:pPr>
              <w:jc w:val="left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从左到右从上到下点放</w:t>
            </w:r>
          </w:p>
        </w:tc>
      </w:tr>
      <w:tr w14:paraId="705C9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313" w:hRule="atLeast"/>
        </w:trPr>
        <w:tc>
          <w:tcPr>
            <w:tcW w:w="637" w:type="dxa"/>
            <w:vMerge w:val="continue"/>
            <w:noWrap w:val="0"/>
            <w:vAlign w:val="center"/>
          </w:tcPr>
          <w:p w14:paraId="025AA376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1519" w:type="dxa"/>
            <w:gridSpan w:val="2"/>
            <w:noWrap w:val="0"/>
            <w:vAlign w:val="center"/>
          </w:tcPr>
          <w:p w14:paraId="140C9AC5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门框</w:t>
            </w:r>
          </w:p>
        </w:tc>
        <w:tc>
          <w:tcPr>
            <w:tcW w:w="841" w:type="dxa"/>
            <w:gridSpan w:val="2"/>
            <w:vMerge w:val="continue"/>
            <w:noWrap w:val="0"/>
            <w:vAlign w:val="center"/>
          </w:tcPr>
          <w:p w14:paraId="4E66930B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1313" w:type="dxa"/>
            <w:noWrap w:val="0"/>
            <w:vAlign w:val="center"/>
          </w:tcPr>
          <w:p w14:paraId="539C8962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eastAsia" w:ascii="Times New Roman" w:hAnsi="Times New Roman" w:eastAsia="方正仿宋简体" w:cs="Times New Roman"/>
                <w:lang w:val="en-US" w:eastAsia="zh-CN"/>
              </w:rPr>
              <w:t>灭蟑</w:t>
            </w:r>
            <w:r>
              <w:rPr>
                <w:rFonts w:hint="default" w:ascii="Times New Roman" w:hAnsi="Times New Roman" w:eastAsia="方正仿宋简体" w:cs="Times New Roman"/>
              </w:rPr>
              <w:t>胶饵</w:t>
            </w:r>
          </w:p>
        </w:tc>
        <w:tc>
          <w:tcPr>
            <w:tcW w:w="3966" w:type="dxa"/>
            <w:vMerge w:val="continue"/>
            <w:noWrap w:val="0"/>
            <w:vAlign w:val="center"/>
          </w:tcPr>
          <w:p w14:paraId="6E1B662B">
            <w:pPr>
              <w:jc w:val="left"/>
              <w:rPr>
                <w:rFonts w:hint="default" w:ascii="Times New Roman" w:hAnsi="Times New Roman" w:eastAsia="方正仿宋简体" w:cs="Times New Roman"/>
              </w:rPr>
            </w:pPr>
          </w:p>
        </w:tc>
      </w:tr>
      <w:tr w14:paraId="7E694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313" w:hRule="atLeast"/>
        </w:trPr>
        <w:tc>
          <w:tcPr>
            <w:tcW w:w="637" w:type="dxa"/>
            <w:vMerge w:val="continue"/>
            <w:noWrap w:val="0"/>
            <w:vAlign w:val="center"/>
          </w:tcPr>
          <w:p w14:paraId="01014FB2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1519" w:type="dxa"/>
            <w:gridSpan w:val="2"/>
            <w:noWrap w:val="0"/>
            <w:vAlign w:val="center"/>
          </w:tcPr>
          <w:p w14:paraId="4CBD8E82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灭火器箱</w:t>
            </w:r>
          </w:p>
        </w:tc>
        <w:tc>
          <w:tcPr>
            <w:tcW w:w="841" w:type="dxa"/>
            <w:gridSpan w:val="2"/>
            <w:vMerge w:val="continue"/>
            <w:noWrap w:val="0"/>
            <w:vAlign w:val="center"/>
          </w:tcPr>
          <w:p w14:paraId="0CE82A95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1313" w:type="dxa"/>
            <w:noWrap w:val="0"/>
            <w:vAlign w:val="center"/>
          </w:tcPr>
          <w:p w14:paraId="48D7A672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灭蟑颗粒</w:t>
            </w:r>
          </w:p>
        </w:tc>
        <w:tc>
          <w:tcPr>
            <w:tcW w:w="3966" w:type="dxa"/>
            <w:noWrap w:val="0"/>
            <w:vAlign w:val="center"/>
          </w:tcPr>
          <w:p w14:paraId="37DAB149">
            <w:pPr>
              <w:jc w:val="left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投放灭蟑颗粒，重点消杀、控制蟑螂</w:t>
            </w:r>
          </w:p>
        </w:tc>
      </w:tr>
      <w:tr w14:paraId="1CB26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601" w:hRule="atLeast"/>
        </w:trPr>
        <w:tc>
          <w:tcPr>
            <w:tcW w:w="637" w:type="dxa"/>
            <w:vMerge w:val="continue"/>
            <w:noWrap w:val="0"/>
            <w:vAlign w:val="center"/>
          </w:tcPr>
          <w:p w14:paraId="7B4820D9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1519" w:type="dxa"/>
            <w:gridSpan w:val="2"/>
            <w:noWrap w:val="0"/>
            <w:vAlign w:val="center"/>
          </w:tcPr>
          <w:p w14:paraId="60C01565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冰箱、空调压缩机</w:t>
            </w:r>
          </w:p>
        </w:tc>
        <w:tc>
          <w:tcPr>
            <w:tcW w:w="841" w:type="dxa"/>
            <w:gridSpan w:val="2"/>
            <w:vMerge w:val="continue"/>
            <w:noWrap w:val="0"/>
            <w:vAlign w:val="center"/>
          </w:tcPr>
          <w:p w14:paraId="2F021F46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1313" w:type="dxa"/>
            <w:noWrap w:val="0"/>
            <w:vAlign w:val="center"/>
          </w:tcPr>
          <w:p w14:paraId="14B51A9E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灭蟑颗粒、粘捕盒</w:t>
            </w:r>
          </w:p>
        </w:tc>
        <w:tc>
          <w:tcPr>
            <w:tcW w:w="3966" w:type="dxa"/>
            <w:noWrap w:val="0"/>
            <w:vAlign w:val="center"/>
          </w:tcPr>
          <w:p w14:paraId="7DA85A9A">
            <w:pPr>
              <w:jc w:val="left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压缩机内部四角投放颗粒，中间部位安装粘捕盒</w:t>
            </w:r>
          </w:p>
        </w:tc>
      </w:tr>
      <w:tr w14:paraId="323B1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313" w:hRule="atLeast"/>
        </w:trPr>
        <w:tc>
          <w:tcPr>
            <w:tcW w:w="637" w:type="dxa"/>
            <w:vMerge w:val="continue"/>
            <w:noWrap w:val="0"/>
            <w:vAlign w:val="center"/>
          </w:tcPr>
          <w:p w14:paraId="26BD22CE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1519" w:type="dxa"/>
            <w:gridSpan w:val="2"/>
            <w:noWrap w:val="0"/>
            <w:vAlign w:val="center"/>
          </w:tcPr>
          <w:p w14:paraId="5D760AB0">
            <w:pPr>
              <w:jc w:val="center"/>
              <w:rPr>
                <w:rFonts w:hint="eastAsia" w:ascii="Times New Roman" w:hAnsi="Times New Roman" w:eastAsia="方正仿宋简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电子</w:t>
            </w:r>
            <w:r>
              <w:rPr>
                <w:rFonts w:hint="eastAsia" w:eastAsia="方正仿宋简体" w:cs="Times New Roman"/>
                <w:lang w:val="en-US" w:eastAsia="zh-CN"/>
              </w:rPr>
              <w:t>秤</w:t>
            </w:r>
          </w:p>
        </w:tc>
        <w:tc>
          <w:tcPr>
            <w:tcW w:w="841" w:type="dxa"/>
            <w:gridSpan w:val="2"/>
            <w:vMerge w:val="continue"/>
            <w:noWrap w:val="0"/>
            <w:vAlign w:val="center"/>
          </w:tcPr>
          <w:p w14:paraId="0198CBFF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1313" w:type="dxa"/>
            <w:noWrap w:val="0"/>
            <w:vAlign w:val="center"/>
          </w:tcPr>
          <w:p w14:paraId="081DC58E">
            <w:pPr>
              <w:jc w:val="center"/>
              <w:rPr>
                <w:rFonts w:hint="eastAsia" w:ascii="Times New Roman" w:hAnsi="Times New Roman" w:eastAsia="方正仿宋简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灭蟑</w:t>
            </w:r>
            <w:r>
              <w:rPr>
                <w:rFonts w:hint="eastAsia" w:ascii="Times New Roman" w:hAnsi="Times New Roman" w:eastAsia="方正仿宋简体" w:cs="Times New Roman"/>
                <w:lang w:val="en-US" w:eastAsia="zh-CN"/>
              </w:rPr>
              <w:t>胶饵</w:t>
            </w:r>
          </w:p>
        </w:tc>
        <w:tc>
          <w:tcPr>
            <w:tcW w:w="3966" w:type="dxa"/>
            <w:noWrap w:val="0"/>
            <w:vAlign w:val="center"/>
          </w:tcPr>
          <w:p w14:paraId="13EC6D78">
            <w:pPr>
              <w:jc w:val="left"/>
              <w:rPr>
                <w:rFonts w:hint="eastAsia" w:ascii="Times New Roman" w:hAnsi="Times New Roman" w:eastAsia="方正仿宋简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支撑秤盘四角投放灭蟑</w:t>
            </w:r>
            <w:r>
              <w:rPr>
                <w:rFonts w:hint="eastAsia" w:ascii="Times New Roman" w:hAnsi="Times New Roman" w:eastAsia="方正仿宋简体" w:cs="Times New Roman"/>
                <w:lang w:val="en-US" w:eastAsia="zh-CN"/>
              </w:rPr>
              <w:t>胶饵</w:t>
            </w:r>
          </w:p>
        </w:tc>
      </w:tr>
      <w:tr w14:paraId="4EA9E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313" w:hRule="atLeast"/>
        </w:trPr>
        <w:tc>
          <w:tcPr>
            <w:tcW w:w="637" w:type="dxa"/>
            <w:vMerge w:val="continue"/>
            <w:noWrap w:val="0"/>
            <w:vAlign w:val="center"/>
          </w:tcPr>
          <w:p w14:paraId="5813A010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1519" w:type="dxa"/>
            <w:gridSpan w:val="2"/>
            <w:noWrap w:val="0"/>
            <w:vAlign w:val="center"/>
          </w:tcPr>
          <w:p w14:paraId="099CA8F3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插线板</w:t>
            </w:r>
          </w:p>
        </w:tc>
        <w:tc>
          <w:tcPr>
            <w:tcW w:w="841" w:type="dxa"/>
            <w:gridSpan w:val="2"/>
            <w:vMerge w:val="continue"/>
            <w:noWrap w:val="0"/>
            <w:vAlign w:val="center"/>
          </w:tcPr>
          <w:p w14:paraId="51020F4E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1313" w:type="dxa"/>
            <w:noWrap w:val="0"/>
            <w:vAlign w:val="center"/>
          </w:tcPr>
          <w:p w14:paraId="37A2F691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灭蟑胶饵</w:t>
            </w:r>
          </w:p>
        </w:tc>
        <w:tc>
          <w:tcPr>
            <w:tcW w:w="3966" w:type="dxa"/>
            <w:noWrap w:val="0"/>
            <w:vAlign w:val="center"/>
          </w:tcPr>
          <w:p w14:paraId="4642BFC7">
            <w:pPr>
              <w:jc w:val="left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四角点放胶饵</w:t>
            </w:r>
          </w:p>
        </w:tc>
      </w:tr>
      <w:tr w14:paraId="241C9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313" w:hRule="atLeast"/>
        </w:trPr>
        <w:tc>
          <w:tcPr>
            <w:tcW w:w="637" w:type="dxa"/>
            <w:vMerge w:val="continue"/>
            <w:noWrap w:val="0"/>
            <w:vAlign w:val="center"/>
          </w:tcPr>
          <w:p w14:paraId="70082CEA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1519" w:type="dxa"/>
            <w:gridSpan w:val="2"/>
            <w:noWrap w:val="0"/>
            <w:vAlign w:val="center"/>
          </w:tcPr>
          <w:p w14:paraId="39690821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瓷砖缝</w:t>
            </w:r>
          </w:p>
        </w:tc>
        <w:tc>
          <w:tcPr>
            <w:tcW w:w="841" w:type="dxa"/>
            <w:gridSpan w:val="2"/>
            <w:vMerge w:val="continue"/>
            <w:noWrap w:val="0"/>
            <w:vAlign w:val="center"/>
          </w:tcPr>
          <w:p w14:paraId="1D0D4E34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1313" w:type="dxa"/>
            <w:noWrap w:val="0"/>
            <w:vAlign w:val="center"/>
          </w:tcPr>
          <w:p w14:paraId="1A858EC7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灭蟑胶饵</w:t>
            </w:r>
          </w:p>
        </w:tc>
        <w:tc>
          <w:tcPr>
            <w:tcW w:w="3966" w:type="dxa"/>
            <w:noWrap w:val="0"/>
            <w:vAlign w:val="center"/>
          </w:tcPr>
          <w:p w14:paraId="40231DD5">
            <w:pPr>
              <w:jc w:val="left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缝隙处点放胶饵</w:t>
            </w:r>
          </w:p>
        </w:tc>
      </w:tr>
      <w:tr w14:paraId="7730E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601" w:hRule="atLeast"/>
        </w:trPr>
        <w:tc>
          <w:tcPr>
            <w:tcW w:w="637" w:type="dxa"/>
            <w:vMerge w:val="restart"/>
            <w:noWrap w:val="0"/>
            <w:vAlign w:val="center"/>
          </w:tcPr>
          <w:p w14:paraId="0B6B5EC2">
            <w:pPr>
              <w:spacing w:before="312" w:beforeLines="100" w:after="312" w:afterLines="100"/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餐厅、包厢、宴会厅、会议中心</w:t>
            </w:r>
          </w:p>
        </w:tc>
        <w:tc>
          <w:tcPr>
            <w:tcW w:w="1519" w:type="dxa"/>
            <w:gridSpan w:val="2"/>
            <w:noWrap w:val="0"/>
            <w:vAlign w:val="center"/>
          </w:tcPr>
          <w:p w14:paraId="71687BA4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吧台</w:t>
            </w:r>
          </w:p>
        </w:tc>
        <w:tc>
          <w:tcPr>
            <w:tcW w:w="841" w:type="dxa"/>
            <w:gridSpan w:val="2"/>
            <w:noWrap w:val="0"/>
            <w:vAlign w:val="center"/>
          </w:tcPr>
          <w:p w14:paraId="624AEFD0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蜚蠊</w:t>
            </w:r>
          </w:p>
        </w:tc>
        <w:tc>
          <w:tcPr>
            <w:tcW w:w="1313" w:type="dxa"/>
            <w:noWrap w:val="0"/>
            <w:vAlign w:val="center"/>
          </w:tcPr>
          <w:p w14:paraId="7AEAFD39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灭蟑颗粒、</w:t>
            </w:r>
            <w:r>
              <w:rPr>
                <w:rFonts w:hint="eastAsia" w:ascii="Times New Roman" w:hAnsi="Times New Roman" w:eastAsia="方正仿宋简体" w:cs="Times New Roman"/>
                <w:lang w:val="en-US" w:eastAsia="zh-CN"/>
              </w:rPr>
              <w:t>灭蟑</w:t>
            </w:r>
            <w:r>
              <w:rPr>
                <w:rFonts w:hint="default" w:ascii="Times New Roman" w:hAnsi="Times New Roman" w:eastAsia="方正仿宋简体" w:cs="Times New Roman"/>
              </w:rPr>
              <w:t>胶饵</w:t>
            </w:r>
          </w:p>
        </w:tc>
        <w:tc>
          <w:tcPr>
            <w:tcW w:w="3966" w:type="dxa"/>
            <w:noWrap w:val="0"/>
            <w:vAlign w:val="center"/>
          </w:tcPr>
          <w:p w14:paraId="2BDC2EA8">
            <w:pPr>
              <w:jc w:val="left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抽屉两侧投放灭蟑胶饵，柜子内部四周投放灭蟑颗粒</w:t>
            </w:r>
          </w:p>
        </w:tc>
      </w:tr>
      <w:tr w14:paraId="616AB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305" w:hRule="atLeast"/>
        </w:trPr>
        <w:tc>
          <w:tcPr>
            <w:tcW w:w="637" w:type="dxa"/>
            <w:vMerge w:val="continue"/>
            <w:noWrap w:val="0"/>
            <w:vAlign w:val="center"/>
          </w:tcPr>
          <w:p w14:paraId="6FAB3BB6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1519" w:type="dxa"/>
            <w:gridSpan w:val="2"/>
            <w:noWrap w:val="0"/>
            <w:vAlign w:val="center"/>
          </w:tcPr>
          <w:p w14:paraId="1E462795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布草间</w:t>
            </w:r>
          </w:p>
        </w:tc>
        <w:tc>
          <w:tcPr>
            <w:tcW w:w="841" w:type="dxa"/>
            <w:gridSpan w:val="2"/>
            <w:noWrap w:val="0"/>
            <w:vAlign w:val="center"/>
          </w:tcPr>
          <w:p w14:paraId="02C5E0F8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蜚蠊</w:t>
            </w:r>
          </w:p>
        </w:tc>
        <w:tc>
          <w:tcPr>
            <w:tcW w:w="1313" w:type="dxa"/>
            <w:noWrap w:val="0"/>
            <w:vAlign w:val="center"/>
          </w:tcPr>
          <w:p w14:paraId="34F76209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灭蟑胶饵</w:t>
            </w:r>
          </w:p>
        </w:tc>
        <w:tc>
          <w:tcPr>
            <w:tcW w:w="3966" w:type="dxa"/>
            <w:noWrap w:val="0"/>
            <w:vAlign w:val="center"/>
          </w:tcPr>
          <w:p w14:paraId="3E1695A8">
            <w:pPr>
              <w:jc w:val="left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铁架或柜子四周点放灭蟑胶饵</w:t>
            </w:r>
          </w:p>
        </w:tc>
      </w:tr>
      <w:tr w14:paraId="46527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820" w:hRule="atLeast"/>
        </w:trPr>
        <w:tc>
          <w:tcPr>
            <w:tcW w:w="637" w:type="dxa"/>
            <w:vMerge w:val="continue"/>
            <w:noWrap w:val="0"/>
            <w:vAlign w:val="center"/>
          </w:tcPr>
          <w:p w14:paraId="34ACC61D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1519" w:type="dxa"/>
            <w:gridSpan w:val="2"/>
            <w:noWrap w:val="0"/>
            <w:vAlign w:val="center"/>
          </w:tcPr>
          <w:p w14:paraId="7DFB70D4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餐厅</w:t>
            </w:r>
          </w:p>
        </w:tc>
        <w:tc>
          <w:tcPr>
            <w:tcW w:w="841" w:type="dxa"/>
            <w:gridSpan w:val="2"/>
            <w:noWrap w:val="0"/>
            <w:vAlign w:val="center"/>
          </w:tcPr>
          <w:p w14:paraId="3FFE2523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蚊蝇</w:t>
            </w:r>
          </w:p>
        </w:tc>
        <w:tc>
          <w:tcPr>
            <w:tcW w:w="1313" w:type="dxa"/>
            <w:noWrap w:val="0"/>
            <w:vAlign w:val="center"/>
          </w:tcPr>
          <w:p w14:paraId="5A6CDC60">
            <w:pPr>
              <w:jc w:val="center"/>
              <w:rPr>
                <w:rFonts w:hint="default" w:ascii="Times New Roman" w:hAnsi="Times New Roman" w:eastAsia="方正仿宋简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lang w:val="en-US" w:eastAsia="zh-CN"/>
              </w:rPr>
              <w:t>20%呋虫胺喷雾</w:t>
            </w:r>
          </w:p>
        </w:tc>
        <w:tc>
          <w:tcPr>
            <w:tcW w:w="3966" w:type="dxa"/>
            <w:noWrap w:val="0"/>
            <w:vAlign w:val="center"/>
          </w:tcPr>
          <w:p w14:paraId="7586935A">
            <w:pPr>
              <w:spacing w:line="280" w:lineRule="exact"/>
              <w:jc w:val="left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所有物品加盖进行空间喷洒，同时建议对存在积水的景观花盆定期换水，或者投放缓释剂</w:t>
            </w:r>
          </w:p>
        </w:tc>
      </w:tr>
      <w:tr w14:paraId="3017A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313" w:hRule="atLeast"/>
        </w:trPr>
        <w:tc>
          <w:tcPr>
            <w:tcW w:w="637" w:type="dxa"/>
            <w:vMerge w:val="continue"/>
            <w:noWrap w:val="0"/>
            <w:vAlign w:val="center"/>
          </w:tcPr>
          <w:p w14:paraId="710FCFA3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1519" w:type="dxa"/>
            <w:gridSpan w:val="2"/>
            <w:noWrap w:val="0"/>
            <w:vAlign w:val="center"/>
          </w:tcPr>
          <w:p w14:paraId="4836BE04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储物柜</w:t>
            </w:r>
          </w:p>
        </w:tc>
        <w:tc>
          <w:tcPr>
            <w:tcW w:w="841" w:type="dxa"/>
            <w:gridSpan w:val="2"/>
            <w:noWrap w:val="0"/>
            <w:vAlign w:val="center"/>
          </w:tcPr>
          <w:p w14:paraId="2A9D563D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蜚蠊</w:t>
            </w:r>
          </w:p>
        </w:tc>
        <w:tc>
          <w:tcPr>
            <w:tcW w:w="1313" w:type="dxa"/>
            <w:noWrap w:val="0"/>
            <w:vAlign w:val="center"/>
          </w:tcPr>
          <w:p w14:paraId="043F69F3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eastAsia" w:ascii="Times New Roman" w:hAnsi="Times New Roman" w:eastAsia="方正仿宋简体" w:cs="Times New Roman"/>
                <w:lang w:val="en-US" w:eastAsia="zh-CN"/>
              </w:rPr>
              <w:t>蟑螂</w:t>
            </w:r>
            <w:r>
              <w:rPr>
                <w:rFonts w:hint="default" w:ascii="Times New Roman" w:hAnsi="Times New Roman" w:eastAsia="方正仿宋简体" w:cs="Times New Roman"/>
              </w:rPr>
              <w:t>胶饵</w:t>
            </w:r>
          </w:p>
        </w:tc>
        <w:tc>
          <w:tcPr>
            <w:tcW w:w="3966" w:type="dxa"/>
            <w:noWrap w:val="0"/>
            <w:vAlign w:val="center"/>
          </w:tcPr>
          <w:p w14:paraId="1A5AE69E">
            <w:pPr>
              <w:jc w:val="left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从左到右、从上到下点放</w:t>
            </w:r>
          </w:p>
        </w:tc>
      </w:tr>
      <w:tr w14:paraId="43C80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820" w:hRule="atLeast"/>
        </w:trPr>
        <w:tc>
          <w:tcPr>
            <w:tcW w:w="637" w:type="dxa"/>
            <w:vMerge w:val="continue"/>
            <w:noWrap w:val="0"/>
            <w:vAlign w:val="center"/>
          </w:tcPr>
          <w:p w14:paraId="57C6D2EC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1519" w:type="dxa"/>
            <w:gridSpan w:val="2"/>
            <w:noWrap w:val="0"/>
            <w:vAlign w:val="center"/>
          </w:tcPr>
          <w:p w14:paraId="70E19CD7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天花板</w:t>
            </w:r>
          </w:p>
        </w:tc>
        <w:tc>
          <w:tcPr>
            <w:tcW w:w="841" w:type="dxa"/>
            <w:gridSpan w:val="2"/>
            <w:noWrap w:val="0"/>
            <w:vAlign w:val="center"/>
          </w:tcPr>
          <w:p w14:paraId="479A4EED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鼠类</w:t>
            </w:r>
          </w:p>
        </w:tc>
        <w:tc>
          <w:tcPr>
            <w:tcW w:w="1313" w:type="dxa"/>
            <w:noWrap w:val="0"/>
            <w:vAlign w:val="center"/>
          </w:tcPr>
          <w:p w14:paraId="05988EF1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强力粘鼠板</w:t>
            </w:r>
          </w:p>
        </w:tc>
        <w:tc>
          <w:tcPr>
            <w:tcW w:w="3966" w:type="dxa"/>
            <w:noWrap w:val="0"/>
            <w:vAlign w:val="center"/>
          </w:tcPr>
          <w:p w14:paraId="3D17B00F">
            <w:pPr>
              <w:spacing w:line="280" w:lineRule="exact"/>
              <w:jc w:val="left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每15平方米两块，同时检查是否存在结构漏洞，一经发现，将给出建设性意见整改补洞；</w:t>
            </w:r>
          </w:p>
        </w:tc>
      </w:tr>
      <w:tr w14:paraId="5EA31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348" w:hRule="atLeast"/>
        </w:trPr>
        <w:tc>
          <w:tcPr>
            <w:tcW w:w="8276" w:type="dxa"/>
            <w:gridSpan w:val="7"/>
            <w:noWrap w:val="0"/>
            <w:vAlign w:val="center"/>
          </w:tcPr>
          <w:p w14:paraId="2E248A08">
            <w:pPr>
              <w:jc w:val="both"/>
              <w:rPr>
                <w:rFonts w:hint="default" w:ascii="Times New Roman" w:hAnsi="Times New Roman" w:eastAsia="方正仿宋简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lang w:val="en-US" w:eastAsia="zh-CN"/>
              </w:rPr>
              <w:t>区域：客房区、停车场</w:t>
            </w:r>
          </w:p>
        </w:tc>
      </w:tr>
      <w:tr w14:paraId="6FC21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534" w:hRule="atLeast"/>
        </w:trPr>
        <w:tc>
          <w:tcPr>
            <w:tcW w:w="637" w:type="dxa"/>
            <w:noWrap w:val="0"/>
            <w:vAlign w:val="center"/>
          </w:tcPr>
          <w:p w14:paraId="5DFCF0DF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防治区域</w:t>
            </w:r>
          </w:p>
        </w:tc>
        <w:tc>
          <w:tcPr>
            <w:tcW w:w="1519" w:type="dxa"/>
            <w:gridSpan w:val="2"/>
            <w:noWrap w:val="0"/>
            <w:vAlign w:val="center"/>
          </w:tcPr>
          <w:p w14:paraId="0212C14E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防治部位</w:t>
            </w:r>
          </w:p>
        </w:tc>
        <w:tc>
          <w:tcPr>
            <w:tcW w:w="841" w:type="dxa"/>
            <w:gridSpan w:val="2"/>
            <w:noWrap w:val="0"/>
            <w:vAlign w:val="center"/>
          </w:tcPr>
          <w:p w14:paraId="7F9A1D6B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防治对象</w:t>
            </w:r>
          </w:p>
        </w:tc>
        <w:tc>
          <w:tcPr>
            <w:tcW w:w="1313" w:type="dxa"/>
            <w:noWrap w:val="0"/>
            <w:vAlign w:val="center"/>
          </w:tcPr>
          <w:p w14:paraId="06B57C76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使用药品</w:t>
            </w:r>
          </w:p>
        </w:tc>
        <w:tc>
          <w:tcPr>
            <w:tcW w:w="3966" w:type="dxa"/>
            <w:noWrap w:val="0"/>
            <w:vAlign w:val="center"/>
          </w:tcPr>
          <w:p w14:paraId="792A9416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操作方法</w:t>
            </w:r>
          </w:p>
        </w:tc>
      </w:tr>
      <w:tr w14:paraId="58DD9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337" w:hRule="atLeast"/>
        </w:trPr>
        <w:tc>
          <w:tcPr>
            <w:tcW w:w="637" w:type="dxa"/>
            <w:vMerge w:val="restart"/>
            <w:noWrap w:val="0"/>
            <w:vAlign w:val="center"/>
          </w:tcPr>
          <w:p w14:paraId="661B3445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客房、办公区办公室</w:t>
            </w:r>
          </w:p>
        </w:tc>
        <w:tc>
          <w:tcPr>
            <w:tcW w:w="1519" w:type="dxa"/>
            <w:gridSpan w:val="2"/>
            <w:noWrap w:val="0"/>
            <w:vAlign w:val="center"/>
          </w:tcPr>
          <w:p w14:paraId="767DA0D2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电视机柜</w:t>
            </w:r>
          </w:p>
        </w:tc>
        <w:tc>
          <w:tcPr>
            <w:tcW w:w="841" w:type="dxa"/>
            <w:gridSpan w:val="2"/>
            <w:vMerge w:val="restart"/>
            <w:noWrap w:val="0"/>
            <w:vAlign w:val="center"/>
          </w:tcPr>
          <w:p w14:paraId="77D3DAAE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蜚蠊</w:t>
            </w:r>
          </w:p>
        </w:tc>
        <w:tc>
          <w:tcPr>
            <w:tcW w:w="1313" w:type="dxa"/>
            <w:vMerge w:val="restart"/>
            <w:noWrap w:val="0"/>
            <w:vAlign w:val="center"/>
          </w:tcPr>
          <w:p w14:paraId="34A3AE4E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eastAsia" w:ascii="Times New Roman" w:hAnsi="Times New Roman" w:eastAsia="方正仿宋简体" w:cs="Times New Roman"/>
                <w:lang w:val="en-US" w:eastAsia="zh-CN"/>
              </w:rPr>
              <w:t>灭蟑</w:t>
            </w:r>
            <w:r>
              <w:rPr>
                <w:rFonts w:hint="default" w:ascii="Times New Roman" w:hAnsi="Times New Roman" w:eastAsia="方正仿宋简体" w:cs="Times New Roman"/>
              </w:rPr>
              <w:t>胶饵、灭蟑颗粒</w:t>
            </w:r>
          </w:p>
        </w:tc>
        <w:tc>
          <w:tcPr>
            <w:tcW w:w="3966" w:type="dxa"/>
            <w:vMerge w:val="restart"/>
            <w:noWrap w:val="0"/>
            <w:vAlign w:val="center"/>
          </w:tcPr>
          <w:p w14:paraId="3220146D">
            <w:pPr>
              <w:jc w:val="left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从上到下、从左到右主要是</w:t>
            </w:r>
            <w:r>
              <w:rPr>
                <w:rFonts w:hint="eastAsia" w:eastAsia="方正仿宋简体" w:cs="Times New Roman"/>
                <w:lang w:val="en-US" w:eastAsia="zh-CN"/>
              </w:rPr>
              <w:t>在</w:t>
            </w:r>
            <w:r>
              <w:rPr>
                <w:rFonts w:hint="default" w:ascii="Times New Roman" w:hAnsi="Times New Roman" w:eastAsia="方正仿宋简体" w:cs="Times New Roman"/>
              </w:rPr>
              <w:t>光线较弱地方点放，尤其为抽屉中的顶部</w:t>
            </w:r>
          </w:p>
        </w:tc>
      </w:tr>
      <w:tr w14:paraId="7BC1D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337" w:hRule="atLeast"/>
        </w:trPr>
        <w:tc>
          <w:tcPr>
            <w:tcW w:w="637" w:type="dxa"/>
            <w:vMerge w:val="continue"/>
            <w:noWrap w:val="0"/>
            <w:vAlign w:val="center"/>
          </w:tcPr>
          <w:p w14:paraId="47242E87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1519" w:type="dxa"/>
            <w:gridSpan w:val="2"/>
            <w:noWrap w:val="0"/>
            <w:vAlign w:val="center"/>
          </w:tcPr>
          <w:p w14:paraId="6D7D83FA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储物柜、抽屉</w:t>
            </w:r>
          </w:p>
        </w:tc>
        <w:tc>
          <w:tcPr>
            <w:tcW w:w="841" w:type="dxa"/>
            <w:gridSpan w:val="2"/>
            <w:vMerge w:val="continue"/>
            <w:noWrap w:val="0"/>
            <w:vAlign w:val="center"/>
          </w:tcPr>
          <w:p w14:paraId="48A0D47A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1313" w:type="dxa"/>
            <w:vMerge w:val="continue"/>
            <w:noWrap w:val="0"/>
            <w:vAlign w:val="center"/>
          </w:tcPr>
          <w:p w14:paraId="64BA438B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3966" w:type="dxa"/>
            <w:vMerge w:val="continue"/>
            <w:noWrap w:val="0"/>
            <w:vAlign w:val="center"/>
          </w:tcPr>
          <w:p w14:paraId="2E8CF95F">
            <w:pPr>
              <w:jc w:val="left"/>
              <w:rPr>
                <w:rFonts w:hint="default" w:ascii="Times New Roman" w:hAnsi="Times New Roman" w:eastAsia="方正仿宋简体" w:cs="Times New Roman"/>
              </w:rPr>
            </w:pPr>
          </w:p>
        </w:tc>
      </w:tr>
      <w:tr w14:paraId="32D39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337" w:hRule="atLeast"/>
        </w:trPr>
        <w:tc>
          <w:tcPr>
            <w:tcW w:w="637" w:type="dxa"/>
            <w:vMerge w:val="continue"/>
            <w:noWrap w:val="0"/>
            <w:vAlign w:val="center"/>
          </w:tcPr>
          <w:p w14:paraId="6844164C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1519" w:type="dxa"/>
            <w:gridSpan w:val="2"/>
            <w:noWrap w:val="0"/>
            <w:vAlign w:val="center"/>
          </w:tcPr>
          <w:p w14:paraId="4733C496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洗漱台</w:t>
            </w:r>
          </w:p>
        </w:tc>
        <w:tc>
          <w:tcPr>
            <w:tcW w:w="841" w:type="dxa"/>
            <w:gridSpan w:val="2"/>
            <w:vMerge w:val="continue"/>
            <w:noWrap w:val="0"/>
            <w:vAlign w:val="center"/>
          </w:tcPr>
          <w:p w14:paraId="37BF6B2C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1313" w:type="dxa"/>
            <w:vMerge w:val="continue"/>
            <w:noWrap w:val="0"/>
            <w:vAlign w:val="center"/>
          </w:tcPr>
          <w:p w14:paraId="691E8DC4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3966" w:type="dxa"/>
            <w:noWrap w:val="0"/>
            <w:vAlign w:val="center"/>
          </w:tcPr>
          <w:p w14:paraId="3E68B142">
            <w:pPr>
              <w:jc w:val="left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洗漱台下部阴暗角落点放</w:t>
            </w:r>
          </w:p>
        </w:tc>
      </w:tr>
      <w:tr w14:paraId="3A5AE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337" w:hRule="atLeast"/>
        </w:trPr>
        <w:tc>
          <w:tcPr>
            <w:tcW w:w="637" w:type="dxa"/>
            <w:vMerge w:val="continue"/>
            <w:noWrap w:val="0"/>
            <w:vAlign w:val="center"/>
          </w:tcPr>
          <w:p w14:paraId="7EEB013B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1519" w:type="dxa"/>
            <w:gridSpan w:val="2"/>
            <w:noWrap w:val="0"/>
            <w:vAlign w:val="center"/>
          </w:tcPr>
          <w:p w14:paraId="59133A73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地毯</w:t>
            </w:r>
          </w:p>
        </w:tc>
        <w:tc>
          <w:tcPr>
            <w:tcW w:w="841" w:type="dxa"/>
            <w:gridSpan w:val="2"/>
            <w:vMerge w:val="continue"/>
            <w:noWrap w:val="0"/>
            <w:vAlign w:val="center"/>
          </w:tcPr>
          <w:p w14:paraId="5A766896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1313" w:type="dxa"/>
            <w:vMerge w:val="continue"/>
            <w:noWrap w:val="0"/>
            <w:vAlign w:val="center"/>
          </w:tcPr>
          <w:p w14:paraId="57BF6F56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3966" w:type="dxa"/>
            <w:noWrap w:val="0"/>
            <w:vAlign w:val="center"/>
          </w:tcPr>
          <w:p w14:paraId="144FD780">
            <w:pPr>
              <w:jc w:val="left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地毯与墙壁缝隙投放灭蟑颗粒</w:t>
            </w:r>
          </w:p>
        </w:tc>
      </w:tr>
      <w:tr w14:paraId="19217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534" w:hRule="atLeast"/>
        </w:trPr>
        <w:tc>
          <w:tcPr>
            <w:tcW w:w="637" w:type="dxa"/>
            <w:vMerge w:val="continue"/>
            <w:noWrap w:val="0"/>
            <w:vAlign w:val="center"/>
          </w:tcPr>
          <w:p w14:paraId="4F9BD093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1519" w:type="dxa"/>
            <w:gridSpan w:val="2"/>
            <w:noWrap w:val="0"/>
            <w:vAlign w:val="center"/>
          </w:tcPr>
          <w:p w14:paraId="025E116E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下水道地漏</w:t>
            </w:r>
          </w:p>
        </w:tc>
        <w:tc>
          <w:tcPr>
            <w:tcW w:w="841" w:type="dxa"/>
            <w:gridSpan w:val="2"/>
            <w:noWrap w:val="0"/>
            <w:vAlign w:val="center"/>
          </w:tcPr>
          <w:p w14:paraId="49664D95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飞虫</w:t>
            </w:r>
          </w:p>
        </w:tc>
        <w:tc>
          <w:tcPr>
            <w:tcW w:w="1313" w:type="dxa"/>
            <w:noWrap w:val="0"/>
            <w:vAlign w:val="center"/>
          </w:tcPr>
          <w:p w14:paraId="38D7E704">
            <w:pPr>
              <w:jc w:val="center"/>
              <w:rPr>
                <w:rFonts w:hint="default" w:ascii="Times New Roman" w:hAnsi="Times New Roman" w:eastAsia="方正仿宋简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lang w:val="en-US" w:eastAsia="zh-CN"/>
              </w:rPr>
              <w:t>10%氯氰菊酯</w:t>
            </w:r>
          </w:p>
        </w:tc>
        <w:tc>
          <w:tcPr>
            <w:tcW w:w="3966" w:type="dxa"/>
            <w:noWrap w:val="0"/>
            <w:vAlign w:val="center"/>
          </w:tcPr>
          <w:p w14:paraId="654578A0">
            <w:pPr>
              <w:jc w:val="left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下水道口喷洒、同时建议贵方打扫房间里用84消毒液清洗</w:t>
            </w:r>
          </w:p>
        </w:tc>
      </w:tr>
      <w:tr w14:paraId="44CB4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820" w:hRule="atLeast"/>
        </w:trPr>
        <w:tc>
          <w:tcPr>
            <w:tcW w:w="637" w:type="dxa"/>
            <w:noWrap w:val="0"/>
            <w:vAlign w:val="center"/>
          </w:tcPr>
          <w:p w14:paraId="14BD6802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管道间停车场</w:t>
            </w:r>
          </w:p>
        </w:tc>
        <w:tc>
          <w:tcPr>
            <w:tcW w:w="1519" w:type="dxa"/>
            <w:gridSpan w:val="2"/>
            <w:noWrap w:val="0"/>
            <w:vAlign w:val="center"/>
          </w:tcPr>
          <w:p w14:paraId="530206AD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管道口</w:t>
            </w:r>
          </w:p>
        </w:tc>
        <w:tc>
          <w:tcPr>
            <w:tcW w:w="841" w:type="dxa"/>
            <w:gridSpan w:val="2"/>
            <w:noWrap w:val="0"/>
            <w:vAlign w:val="center"/>
          </w:tcPr>
          <w:p w14:paraId="49A100EE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鼠类</w:t>
            </w:r>
          </w:p>
        </w:tc>
        <w:tc>
          <w:tcPr>
            <w:tcW w:w="1313" w:type="dxa"/>
            <w:noWrap w:val="0"/>
            <w:vAlign w:val="center"/>
          </w:tcPr>
          <w:p w14:paraId="13395A5D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eastAsia" w:ascii="Times New Roman" w:hAnsi="Times New Roman" w:eastAsia="方正仿宋简体" w:cs="Times New Roman"/>
                <w:lang w:val="en-US" w:eastAsia="zh-CN"/>
              </w:rPr>
              <w:t>0.005%溴鼠灵诱饵</w:t>
            </w:r>
            <w:r>
              <w:rPr>
                <w:rFonts w:hint="default" w:ascii="Times New Roman" w:hAnsi="Times New Roman" w:eastAsia="方正仿宋简体" w:cs="Times New Roman"/>
              </w:rPr>
              <w:t>、粘鼠板</w:t>
            </w:r>
          </w:p>
        </w:tc>
        <w:tc>
          <w:tcPr>
            <w:tcW w:w="3966" w:type="dxa"/>
            <w:noWrap w:val="0"/>
            <w:vAlign w:val="center"/>
          </w:tcPr>
          <w:p w14:paraId="17490EB6">
            <w:pPr>
              <w:spacing w:line="280" w:lineRule="exact"/>
              <w:jc w:val="left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用鼠饵盒盛放投放</w:t>
            </w:r>
            <w:r>
              <w:rPr>
                <w:rFonts w:hint="eastAsia" w:ascii="Times New Roman" w:hAnsi="Times New Roman" w:eastAsia="方正仿宋简体" w:cs="Times New Roman"/>
                <w:lang w:val="en-US" w:eastAsia="zh-CN"/>
              </w:rPr>
              <w:t>0.005%溴鼠灵诱饵</w:t>
            </w:r>
            <w:r>
              <w:rPr>
                <w:rFonts w:hint="default" w:ascii="Times New Roman" w:hAnsi="Times New Roman" w:eastAsia="方正仿宋简体" w:cs="Times New Roman"/>
              </w:rPr>
              <w:t>，同时投放粘板，对鼠类进行灭杀和密度监控</w:t>
            </w:r>
          </w:p>
        </w:tc>
      </w:tr>
      <w:tr w14:paraId="6E3E7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534" w:hRule="atLeast"/>
        </w:trPr>
        <w:tc>
          <w:tcPr>
            <w:tcW w:w="637" w:type="dxa"/>
            <w:vMerge w:val="restart"/>
            <w:noWrap w:val="0"/>
            <w:vAlign w:val="center"/>
          </w:tcPr>
          <w:p w14:paraId="4E9BFDCB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工作间</w:t>
            </w:r>
          </w:p>
        </w:tc>
        <w:tc>
          <w:tcPr>
            <w:tcW w:w="1519" w:type="dxa"/>
            <w:gridSpan w:val="2"/>
            <w:noWrap w:val="0"/>
            <w:vAlign w:val="center"/>
          </w:tcPr>
          <w:p w14:paraId="408BC088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储物台</w:t>
            </w:r>
          </w:p>
        </w:tc>
        <w:tc>
          <w:tcPr>
            <w:tcW w:w="841" w:type="dxa"/>
            <w:gridSpan w:val="2"/>
            <w:vMerge w:val="restart"/>
            <w:noWrap w:val="0"/>
            <w:vAlign w:val="center"/>
          </w:tcPr>
          <w:p w14:paraId="3AB2B314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蜚蠊</w:t>
            </w:r>
          </w:p>
        </w:tc>
        <w:tc>
          <w:tcPr>
            <w:tcW w:w="1313" w:type="dxa"/>
            <w:vMerge w:val="restart"/>
            <w:noWrap w:val="0"/>
            <w:vAlign w:val="center"/>
          </w:tcPr>
          <w:p w14:paraId="32C51B3C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eastAsia" w:ascii="Times New Roman" w:hAnsi="Times New Roman" w:eastAsia="方正仿宋简体" w:cs="Times New Roman"/>
                <w:lang w:val="en-US" w:eastAsia="zh-CN"/>
              </w:rPr>
              <w:t>灭蟑</w:t>
            </w:r>
            <w:r>
              <w:rPr>
                <w:rFonts w:hint="default" w:ascii="Times New Roman" w:hAnsi="Times New Roman" w:eastAsia="方正仿宋简体" w:cs="Times New Roman"/>
              </w:rPr>
              <w:t>胶饵</w:t>
            </w:r>
          </w:p>
        </w:tc>
        <w:tc>
          <w:tcPr>
            <w:tcW w:w="3966" w:type="dxa"/>
            <w:noWrap w:val="0"/>
            <w:vAlign w:val="center"/>
          </w:tcPr>
          <w:p w14:paraId="5FC16308">
            <w:pPr>
              <w:jc w:val="left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从上到下、从左到右每个角落顶部点放</w:t>
            </w:r>
          </w:p>
        </w:tc>
      </w:tr>
      <w:tr w14:paraId="709C4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534" w:hRule="atLeast"/>
        </w:trPr>
        <w:tc>
          <w:tcPr>
            <w:tcW w:w="637" w:type="dxa"/>
            <w:vMerge w:val="continue"/>
            <w:noWrap w:val="0"/>
            <w:vAlign w:val="center"/>
          </w:tcPr>
          <w:p w14:paraId="205E51F8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1519" w:type="dxa"/>
            <w:gridSpan w:val="2"/>
            <w:noWrap w:val="0"/>
            <w:vAlign w:val="center"/>
          </w:tcPr>
          <w:p w14:paraId="3AC160A4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工作车</w:t>
            </w:r>
          </w:p>
        </w:tc>
        <w:tc>
          <w:tcPr>
            <w:tcW w:w="841" w:type="dxa"/>
            <w:gridSpan w:val="2"/>
            <w:vMerge w:val="continue"/>
            <w:noWrap w:val="0"/>
            <w:vAlign w:val="center"/>
          </w:tcPr>
          <w:p w14:paraId="5EA900D7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1313" w:type="dxa"/>
            <w:vMerge w:val="continue"/>
            <w:noWrap w:val="0"/>
            <w:vAlign w:val="center"/>
          </w:tcPr>
          <w:p w14:paraId="3B33E27F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3966" w:type="dxa"/>
            <w:noWrap w:val="0"/>
            <w:vAlign w:val="center"/>
          </w:tcPr>
          <w:p w14:paraId="140F5757">
            <w:pPr>
              <w:jc w:val="left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少量点放，以防止蟑螂通过工作车被动扩散</w:t>
            </w:r>
          </w:p>
        </w:tc>
      </w:tr>
      <w:tr w14:paraId="428BB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347" w:hRule="atLeast"/>
        </w:trPr>
        <w:tc>
          <w:tcPr>
            <w:tcW w:w="8276" w:type="dxa"/>
            <w:gridSpan w:val="7"/>
            <w:noWrap w:val="0"/>
            <w:vAlign w:val="center"/>
          </w:tcPr>
          <w:p w14:paraId="679FB144">
            <w:pPr>
              <w:jc w:val="both"/>
              <w:rPr>
                <w:rFonts w:hint="default" w:ascii="Times New Roman" w:hAnsi="Times New Roman" w:eastAsia="方正仿宋简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lang w:val="en-US" w:eastAsia="zh-CN"/>
              </w:rPr>
              <w:t>区域：前厅接待大厅、大堂吧、茶吧、外围</w:t>
            </w:r>
          </w:p>
        </w:tc>
      </w:tr>
      <w:tr w14:paraId="53F43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534" w:hRule="atLeast"/>
        </w:trPr>
        <w:tc>
          <w:tcPr>
            <w:tcW w:w="637" w:type="dxa"/>
            <w:noWrap w:val="0"/>
            <w:vAlign w:val="center"/>
          </w:tcPr>
          <w:p w14:paraId="0E70DD3E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防治区域</w:t>
            </w:r>
          </w:p>
        </w:tc>
        <w:tc>
          <w:tcPr>
            <w:tcW w:w="1519" w:type="dxa"/>
            <w:gridSpan w:val="2"/>
            <w:noWrap w:val="0"/>
            <w:vAlign w:val="center"/>
          </w:tcPr>
          <w:p w14:paraId="3F293F5A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防治部位</w:t>
            </w:r>
          </w:p>
        </w:tc>
        <w:tc>
          <w:tcPr>
            <w:tcW w:w="841" w:type="dxa"/>
            <w:gridSpan w:val="2"/>
            <w:noWrap w:val="0"/>
            <w:vAlign w:val="center"/>
          </w:tcPr>
          <w:p w14:paraId="51D8F13E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防治对象</w:t>
            </w:r>
          </w:p>
        </w:tc>
        <w:tc>
          <w:tcPr>
            <w:tcW w:w="1313" w:type="dxa"/>
            <w:noWrap w:val="0"/>
            <w:vAlign w:val="center"/>
          </w:tcPr>
          <w:p w14:paraId="621C886A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使用药品</w:t>
            </w:r>
          </w:p>
        </w:tc>
        <w:tc>
          <w:tcPr>
            <w:tcW w:w="3966" w:type="dxa"/>
            <w:noWrap w:val="0"/>
            <w:vAlign w:val="center"/>
          </w:tcPr>
          <w:p w14:paraId="729938A0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操作方法</w:t>
            </w:r>
          </w:p>
        </w:tc>
      </w:tr>
      <w:tr w14:paraId="64C1A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534" w:hRule="atLeast"/>
        </w:trPr>
        <w:tc>
          <w:tcPr>
            <w:tcW w:w="637" w:type="dxa"/>
            <w:vMerge w:val="restart"/>
            <w:noWrap w:val="0"/>
            <w:vAlign w:val="center"/>
          </w:tcPr>
          <w:p w14:paraId="022F7D4D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接待大厅、大堂吧、茶吧、外围</w:t>
            </w:r>
          </w:p>
        </w:tc>
        <w:tc>
          <w:tcPr>
            <w:tcW w:w="1519" w:type="dxa"/>
            <w:gridSpan w:val="2"/>
            <w:noWrap w:val="0"/>
            <w:vAlign w:val="center"/>
          </w:tcPr>
          <w:p w14:paraId="4D686475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大厅</w:t>
            </w:r>
          </w:p>
        </w:tc>
        <w:tc>
          <w:tcPr>
            <w:tcW w:w="841" w:type="dxa"/>
            <w:gridSpan w:val="2"/>
            <w:noWrap w:val="0"/>
            <w:vAlign w:val="center"/>
          </w:tcPr>
          <w:p w14:paraId="4DF2F2CA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飞虫</w:t>
            </w:r>
          </w:p>
        </w:tc>
        <w:tc>
          <w:tcPr>
            <w:tcW w:w="1313" w:type="dxa"/>
            <w:noWrap w:val="0"/>
            <w:vAlign w:val="center"/>
          </w:tcPr>
          <w:p w14:paraId="56020AFE">
            <w:pPr>
              <w:jc w:val="both"/>
              <w:rPr>
                <w:rFonts w:hint="default" w:ascii="Times New Roman" w:hAnsi="Times New Roman" w:eastAsia="方正仿宋简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lang w:val="en-US" w:eastAsia="zh-CN"/>
              </w:rPr>
              <w:t>20%呋虫胺</w:t>
            </w:r>
          </w:p>
        </w:tc>
        <w:tc>
          <w:tcPr>
            <w:tcW w:w="3966" w:type="dxa"/>
            <w:noWrap w:val="0"/>
            <w:vAlign w:val="center"/>
          </w:tcPr>
          <w:p w14:paraId="0201C8FB">
            <w:pPr>
              <w:jc w:val="left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空间喷洒，地脚线滞留喷洒</w:t>
            </w:r>
          </w:p>
        </w:tc>
      </w:tr>
      <w:tr w14:paraId="34641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311" w:hRule="atLeast"/>
        </w:trPr>
        <w:tc>
          <w:tcPr>
            <w:tcW w:w="637" w:type="dxa"/>
            <w:vMerge w:val="continue"/>
            <w:noWrap w:val="0"/>
            <w:vAlign w:val="center"/>
          </w:tcPr>
          <w:p w14:paraId="7659E4F7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1519" w:type="dxa"/>
            <w:gridSpan w:val="2"/>
            <w:noWrap w:val="0"/>
            <w:vAlign w:val="center"/>
          </w:tcPr>
          <w:p w14:paraId="586A40F0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盆景</w:t>
            </w:r>
          </w:p>
        </w:tc>
        <w:tc>
          <w:tcPr>
            <w:tcW w:w="841" w:type="dxa"/>
            <w:gridSpan w:val="2"/>
            <w:noWrap w:val="0"/>
            <w:vAlign w:val="center"/>
          </w:tcPr>
          <w:p w14:paraId="02D4EC62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蚊蝇幼虫</w:t>
            </w:r>
          </w:p>
        </w:tc>
        <w:tc>
          <w:tcPr>
            <w:tcW w:w="1313" w:type="dxa"/>
            <w:noWrap w:val="0"/>
            <w:vAlign w:val="center"/>
          </w:tcPr>
          <w:p w14:paraId="0E2C6892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安备缓释剂</w:t>
            </w:r>
          </w:p>
        </w:tc>
        <w:tc>
          <w:tcPr>
            <w:tcW w:w="3966" w:type="dxa"/>
            <w:noWrap w:val="0"/>
            <w:vAlign w:val="center"/>
          </w:tcPr>
          <w:p w14:paraId="5B6E04F3">
            <w:pPr>
              <w:jc w:val="left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托盘投放安备，或建议贵方定期换水</w:t>
            </w:r>
          </w:p>
        </w:tc>
      </w:tr>
      <w:tr w14:paraId="4572E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400" w:hRule="atLeast"/>
        </w:trPr>
        <w:tc>
          <w:tcPr>
            <w:tcW w:w="637" w:type="dxa"/>
            <w:vMerge w:val="continue"/>
            <w:noWrap w:val="0"/>
            <w:vAlign w:val="center"/>
          </w:tcPr>
          <w:p w14:paraId="47884578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1519" w:type="dxa"/>
            <w:gridSpan w:val="2"/>
            <w:noWrap w:val="0"/>
            <w:vAlign w:val="center"/>
          </w:tcPr>
          <w:p w14:paraId="1FE5B5FA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景观水体</w:t>
            </w:r>
          </w:p>
        </w:tc>
        <w:tc>
          <w:tcPr>
            <w:tcW w:w="841" w:type="dxa"/>
            <w:gridSpan w:val="2"/>
            <w:noWrap w:val="0"/>
            <w:vAlign w:val="center"/>
          </w:tcPr>
          <w:p w14:paraId="2282A965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蚊蝇幼</w:t>
            </w:r>
          </w:p>
        </w:tc>
        <w:tc>
          <w:tcPr>
            <w:tcW w:w="1313" w:type="dxa"/>
            <w:noWrap w:val="0"/>
            <w:vAlign w:val="center"/>
          </w:tcPr>
          <w:p w14:paraId="7E0CD918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安备缓释剂</w:t>
            </w:r>
          </w:p>
        </w:tc>
        <w:tc>
          <w:tcPr>
            <w:tcW w:w="3966" w:type="dxa"/>
            <w:noWrap w:val="0"/>
            <w:vAlign w:val="center"/>
          </w:tcPr>
          <w:p w14:paraId="276E37F9">
            <w:pPr>
              <w:jc w:val="left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水体投放安备，每平方米水面20g</w:t>
            </w:r>
          </w:p>
        </w:tc>
      </w:tr>
      <w:tr w14:paraId="33D36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603" w:hRule="atLeast"/>
        </w:trPr>
        <w:tc>
          <w:tcPr>
            <w:tcW w:w="637" w:type="dxa"/>
            <w:vMerge w:val="continue"/>
            <w:noWrap w:val="0"/>
            <w:vAlign w:val="center"/>
          </w:tcPr>
          <w:p w14:paraId="104DF689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</w:tc>
        <w:tc>
          <w:tcPr>
            <w:tcW w:w="1519" w:type="dxa"/>
            <w:gridSpan w:val="2"/>
            <w:noWrap w:val="0"/>
            <w:vAlign w:val="center"/>
          </w:tcPr>
          <w:p w14:paraId="5CEE4EAC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服务前台</w:t>
            </w:r>
          </w:p>
        </w:tc>
        <w:tc>
          <w:tcPr>
            <w:tcW w:w="841" w:type="dxa"/>
            <w:gridSpan w:val="2"/>
            <w:noWrap w:val="0"/>
            <w:vAlign w:val="center"/>
          </w:tcPr>
          <w:p w14:paraId="786BAA23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蜚蠊</w:t>
            </w:r>
          </w:p>
        </w:tc>
        <w:tc>
          <w:tcPr>
            <w:tcW w:w="1313" w:type="dxa"/>
            <w:noWrap w:val="0"/>
            <w:vAlign w:val="center"/>
          </w:tcPr>
          <w:p w14:paraId="6732EDD8"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eastAsia" w:ascii="Times New Roman" w:hAnsi="Times New Roman" w:eastAsia="方正仿宋简体" w:cs="Times New Roman"/>
                <w:lang w:val="en-US" w:eastAsia="zh-CN"/>
              </w:rPr>
              <w:t>灭蟑</w:t>
            </w:r>
            <w:r>
              <w:rPr>
                <w:rFonts w:hint="default" w:ascii="Times New Roman" w:hAnsi="Times New Roman" w:eastAsia="方正仿宋简体" w:cs="Times New Roman"/>
              </w:rPr>
              <w:t>胶饵</w:t>
            </w:r>
          </w:p>
        </w:tc>
        <w:tc>
          <w:tcPr>
            <w:tcW w:w="3966" w:type="dxa"/>
            <w:noWrap w:val="0"/>
            <w:vAlign w:val="center"/>
          </w:tcPr>
          <w:p w14:paraId="5A93178B">
            <w:pPr>
              <w:jc w:val="left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从左到右、从上到下主要是光线背面的阴暗角落点放</w:t>
            </w:r>
          </w:p>
        </w:tc>
      </w:tr>
      <w:tr w14:paraId="7245C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8291" w:type="dxa"/>
            <w:gridSpan w:val="8"/>
            <w:noWrap w:val="0"/>
            <w:vAlign w:val="center"/>
          </w:tcPr>
          <w:p w14:paraId="0D0A44E3">
            <w:pPr>
              <w:spacing w:line="280" w:lineRule="exact"/>
              <w:jc w:val="both"/>
              <w:rPr>
                <w:rFonts w:hint="default" w:ascii="Times New Roman" w:hAnsi="Times New Roman" w:eastAsia="方正仿宋简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lang w:val="en-US" w:eastAsia="zh-CN"/>
              </w:rPr>
              <w:t>区域：公共区域</w:t>
            </w:r>
          </w:p>
        </w:tc>
      </w:tr>
      <w:tr w14:paraId="79CD7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286" w:type="dxa"/>
            <w:gridSpan w:val="3"/>
            <w:noWrap w:val="0"/>
            <w:vAlign w:val="center"/>
          </w:tcPr>
          <w:p w14:paraId="0E016C4B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防治区域</w:t>
            </w:r>
          </w:p>
        </w:tc>
        <w:tc>
          <w:tcPr>
            <w:tcW w:w="1135" w:type="dxa"/>
            <w:gridSpan w:val="2"/>
            <w:noWrap w:val="0"/>
            <w:vAlign w:val="center"/>
          </w:tcPr>
          <w:p w14:paraId="05E629B7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防治对象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 w14:paraId="156EAD35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使用药品</w:t>
            </w:r>
          </w:p>
        </w:tc>
        <w:tc>
          <w:tcPr>
            <w:tcW w:w="3966" w:type="dxa"/>
            <w:noWrap w:val="0"/>
            <w:vAlign w:val="center"/>
          </w:tcPr>
          <w:p w14:paraId="5E15118A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操作方法</w:t>
            </w:r>
          </w:p>
        </w:tc>
      </w:tr>
      <w:tr w14:paraId="4B345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1286" w:type="dxa"/>
            <w:gridSpan w:val="3"/>
            <w:noWrap w:val="0"/>
            <w:vAlign w:val="center"/>
          </w:tcPr>
          <w:p w14:paraId="05174417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  <w:szCs w:val="28"/>
              </w:rPr>
              <w:t>员工及货物通道</w:t>
            </w:r>
          </w:p>
        </w:tc>
        <w:tc>
          <w:tcPr>
            <w:tcW w:w="1135" w:type="dxa"/>
            <w:gridSpan w:val="2"/>
            <w:noWrap w:val="0"/>
            <w:vAlign w:val="center"/>
          </w:tcPr>
          <w:p w14:paraId="712BADD8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飞虫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 w14:paraId="4EFC9C69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lang w:val="en-US" w:eastAsia="zh-CN"/>
              </w:rPr>
              <w:t>20%呋虫胺</w:t>
            </w:r>
          </w:p>
        </w:tc>
        <w:tc>
          <w:tcPr>
            <w:tcW w:w="3966" w:type="dxa"/>
            <w:noWrap w:val="0"/>
            <w:vAlign w:val="center"/>
          </w:tcPr>
          <w:p w14:paraId="3A6B4F6B">
            <w:pPr>
              <w:spacing w:line="280" w:lineRule="exact"/>
              <w:jc w:val="left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空间及滞留喷洒灭杀飞虫</w:t>
            </w:r>
          </w:p>
        </w:tc>
      </w:tr>
      <w:tr w14:paraId="560F2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286" w:type="dxa"/>
            <w:gridSpan w:val="3"/>
            <w:noWrap w:val="0"/>
            <w:vAlign w:val="center"/>
          </w:tcPr>
          <w:p w14:paraId="65D7DB05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地下</w:t>
            </w:r>
            <w:r>
              <w:rPr>
                <w:rFonts w:hint="eastAsia" w:ascii="Times New Roman" w:hAnsi="Times New Roman" w:eastAsia="方正仿宋简体" w:cs="Times New Roman"/>
                <w:lang w:val="en-US" w:eastAsia="zh-CN"/>
              </w:rPr>
              <w:t>室</w:t>
            </w:r>
            <w:r>
              <w:rPr>
                <w:rFonts w:hint="default" w:ascii="Times New Roman" w:hAnsi="Times New Roman" w:eastAsia="方正仿宋简体" w:cs="Times New Roman"/>
              </w:rPr>
              <w:t>、集水井</w:t>
            </w:r>
          </w:p>
        </w:tc>
        <w:tc>
          <w:tcPr>
            <w:tcW w:w="1135" w:type="dxa"/>
            <w:gridSpan w:val="2"/>
            <w:noWrap w:val="0"/>
            <w:vAlign w:val="center"/>
          </w:tcPr>
          <w:p w14:paraId="0DEAA572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鼠类、蚊幼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 w14:paraId="4894598A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毒饵盒、</w:t>
            </w:r>
            <w:r>
              <w:rPr>
                <w:rFonts w:hint="eastAsia" w:ascii="Times New Roman" w:hAnsi="Times New Roman" w:eastAsia="方正仿宋简体" w:cs="Times New Roman"/>
                <w:lang w:val="en-US" w:eastAsia="zh-CN"/>
              </w:rPr>
              <w:t>0.005%溴鼠灵诱饵</w:t>
            </w:r>
            <w:r>
              <w:rPr>
                <w:rFonts w:hint="default" w:ascii="Times New Roman" w:hAnsi="Times New Roman" w:eastAsia="方正仿宋简体" w:cs="Times New Roman"/>
              </w:rPr>
              <w:t>、</w:t>
            </w:r>
            <w:r>
              <w:rPr>
                <w:rFonts w:hint="eastAsia" w:ascii="Times New Roman" w:hAnsi="Times New Roman" w:eastAsia="方正仿宋简体" w:cs="Times New Roman"/>
                <w:lang w:val="en-US" w:eastAsia="zh-CN"/>
              </w:rPr>
              <w:t>20%呋虫胺</w:t>
            </w:r>
          </w:p>
        </w:tc>
        <w:tc>
          <w:tcPr>
            <w:tcW w:w="3966" w:type="dxa"/>
            <w:noWrap w:val="0"/>
            <w:vAlign w:val="center"/>
          </w:tcPr>
          <w:p w14:paraId="726826C0">
            <w:pPr>
              <w:spacing w:line="280" w:lineRule="exact"/>
              <w:jc w:val="left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每15米—20米安装一个毒饵站；水体投放</w:t>
            </w:r>
            <w:r>
              <w:rPr>
                <w:rFonts w:hint="eastAsia" w:ascii="Times New Roman" w:hAnsi="Times New Roman" w:eastAsia="方正仿宋简体" w:cs="Times New Roman"/>
                <w:lang w:val="en-US" w:eastAsia="zh-CN"/>
              </w:rPr>
              <w:t>20%呋虫胺</w:t>
            </w:r>
            <w:r>
              <w:rPr>
                <w:rFonts w:hint="default" w:ascii="Times New Roman" w:hAnsi="Times New Roman" w:eastAsia="方正仿宋简体" w:cs="Times New Roman"/>
              </w:rPr>
              <w:t>，空间喷洒及滞留喷洒</w:t>
            </w:r>
          </w:p>
        </w:tc>
      </w:tr>
      <w:tr w14:paraId="29537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286" w:type="dxa"/>
            <w:gridSpan w:val="3"/>
            <w:noWrap w:val="0"/>
            <w:vAlign w:val="center"/>
          </w:tcPr>
          <w:p w14:paraId="09711EF0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卫生间</w:t>
            </w:r>
          </w:p>
        </w:tc>
        <w:tc>
          <w:tcPr>
            <w:tcW w:w="1135" w:type="dxa"/>
            <w:gridSpan w:val="2"/>
            <w:noWrap w:val="0"/>
            <w:vAlign w:val="center"/>
          </w:tcPr>
          <w:p w14:paraId="374F8AAA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飞虫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 w14:paraId="6E6EBEAE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lang w:val="en-US" w:eastAsia="zh-CN"/>
              </w:rPr>
              <w:t>10%氯氰菊酯</w:t>
            </w:r>
          </w:p>
        </w:tc>
        <w:tc>
          <w:tcPr>
            <w:tcW w:w="3966" w:type="dxa"/>
            <w:noWrap w:val="0"/>
            <w:vAlign w:val="center"/>
          </w:tcPr>
          <w:p w14:paraId="078C70AD">
            <w:pPr>
              <w:spacing w:line="280" w:lineRule="exact"/>
              <w:jc w:val="left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空间喷洒灭飞虫</w:t>
            </w:r>
          </w:p>
        </w:tc>
      </w:tr>
      <w:tr w14:paraId="5BFB2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286" w:type="dxa"/>
            <w:gridSpan w:val="3"/>
            <w:noWrap w:val="0"/>
            <w:vAlign w:val="center"/>
          </w:tcPr>
          <w:p w14:paraId="594ED60C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垃圾</w:t>
            </w:r>
            <w:r>
              <w:rPr>
                <w:rFonts w:hint="eastAsia" w:eastAsia="方正仿宋简体" w:cs="Times New Roman"/>
                <w:lang w:val="en-US" w:eastAsia="zh-CN"/>
              </w:rPr>
              <w:t>桶</w:t>
            </w:r>
            <w:r>
              <w:rPr>
                <w:rFonts w:hint="default" w:ascii="Times New Roman" w:hAnsi="Times New Roman" w:eastAsia="方正仿宋简体" w:cs="Times New Roman"/>
              </w:rPr>
              <w:t>、垃圾房</w:t>
            </w:r>
          </w:p>
        </w:tc>
        <w:tc>
          <w:tcPr>
            <w:tcW w:w="1135" w:type="dxa"/>
            <w:gridSpan w:val="2"/>
            <w:noWrap w:val="0"/>
            <w:vAlign w:val="center"/>
          </w:tcPr>
          <w:p w14:paraId="0976E375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飞虫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 w14:paraId="0B8A27CC">
            <w:pPr>
              <w:spacing w:line="280" w:lineRule="exact"/>
              <w:jc w:val="center"/>
              <w:rPr>
                <w:rFonts w:hint="eastAsia" w:ascii="Times New Roman" w:hAnsi="Times New Roman" w:eastAsia="方正仿宋简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lang w:val="en-US" w:eastAsia="zh-CN"/>
              </w:rPr>
              <w:t>灭蝇颗粒</w:t>
            </w:r>
          </w:p>
        </w:tc>
        <w:tc>
          <w:tcPr>
            <w:tcW w:w="3966" w:type="dxa"/>
            <w:noWrap w:val="0"/>
            <w:vAlign w:val="center"/>
          </w:tcPr>
          <w:p w14:paraId="01254DC2">
            <w:pPr>
              <w:spacing w:line="280" w:lineRule="exact"/>
              <w:jc w:val="left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垃圾</w:t>
            </w:r>
            <w:r>
              <w:rPr>
                <w:rFonts w:hint="eastAsia" w:eastAsia="方正仿宋简体" w:cs="Times New Roman"/>
                <w:lang w:val="en-US" w:eastAsia="zh-CN"/>
              </w:rPr>
              <w:t>桶</w:t>
            </w:r>
            <w:r>
              <w:rPr>
                <w:rFonts w:hint="default" w:ascii="Times New Roman" w:hAnsi="Times New Roman" w:eastAsia="方正仿宋简体" w:cs="Times New Roman"/>
              </w:rPr>
              <w:t>建议加盖，同时悬浮剂做滞留喷洒，垃圾房内部悬挂粘蝇</w:t>
            </w:r>
            <w:r>
              <w:rPr>
                <w:rFonts w:hint="eastAsia" w:ascii="Times New Roman" w:hAnsi="Times New Roman" w:eastAsia="方正仿宋简体" w:cs="Times New Roman"/>
                <w:lang w:val="en-US" w:eastAsia="zh-CN"/>
              </w:rPr>
              <w:t>纸</w:t>
            </w:r>
            <w:r>
              <w:rPr>
                <w:rFonts w:hint="default" w:ascii="Times New Roman" w:hAnsi="Times New Roman" w:eastAsia="方正仿宋简体" w:cs="Times New Roman"/>
              </w:rPr>
              <w:t>；</w:t>
            </w:r>
          </w:p>
        </w:tc>
      </w:tr>
      <w:tr w14:paraId="5ABFF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286" w:type="dxa"/>
            <w:gridSpan w:val="3"/>
            <w:noWrap w:val="0"/>
            <w:vAlign w:val="center"/>
          </w:tcPr>
          <w:p w14:paraId="3302B5BF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外围绿化</w:t>
            </w:r>
          </w:p>
        </w:tc>
        <w:tc>
          <w:tcPr>
            <w:tcW w:w="1135" w:type="dxa"/>
            <w:gridSpan w:val="2"/>
            <w:noWrap w:val="0"/>
            <w:vAlign w:val="center"/>
          </w:tcPr>
          <w:p w14:paraId="0E7EC8EF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飞虫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 w14:paraId="18D59119">
            <w:pPr>
              <w:spacing w:line="280" w:lineRule="exact"/>
              <w:jc w:val="both"/>
              <w:rPr>
                <w:rFonts w:hint="default" w:ascii="Times New Roman" w:hAnsi="Times New Roman" w:eastAsia="方正仿宋简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lang w:val="en-US" w:eastAsia="zh-CN"/>
              </w:rPr>
              <w:t xml:space="preserve"> 10%氯氰菊酯，20%呋虫胺</w:t>
            </w:r>
          </w:p>
        </w:tc>
        <w:tc>
          <w:tcPr>
            <w:tcW w:w="3966" w:type="dxa"/>
            <w:noWrap w:val="0"/>
            <w:vAlign w:val="center"/>
          </w:tcPr>
          <w:p w14:paraId="2C04A85A">
            <w:pPr>
              <w:spacing w:line="280" w:lineRule="exact"/>
              <w:jc w:val="left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空间喷洒、滞留喷洒结合处理，小型积水投放缓释剂</w:t>
            </w:r>
          </w:p>
        </w:tc>
      </w:tr>
      <w:tr w14:paraId="053B5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286" w:type="dxa"/>
            <w:gridSpan w:val="3"/>
            <w:noWrap w:val="0"/>
            <w:vAlign w:val="center"/>
          </w:tcPr>
          <w:p w14:paraId="56F49211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建筑物周围</w:t>
            </w:r>
          </w:p>
        </w:tc>
        <w:tc>
          <w:tcPr>
            <w:tcW w:w="1135" w:type="dxa"/>
            <w:gridSpan w:val="2"/>
            <w:noWrap w:val="0"/>
            <w:vAlign w:val="center"/>
          </w:tcPr>
          <w:p w14:paraId="64A08302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鼠类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 w14:paraId="51370C23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毒饵盒</w:t>
            </w:r>
          </w:p>
        </w:tc>
        <w:tc>
          <w:tcPr>
            <w:tcW w:w="3966" w:type="dxa"/>
            <w:noWrap w:val="0"/>
            <w:vAlign w:val="center"/>
          </w:tcPr>
          <w:p w14:paraId="43D9D3F3">
            <w:pPr>
              <w:spacing w:line="280" w:lineRule="exact"/>
              <w:jc w:val="left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每15米—20米安装一个毒饵站，同时定期检查进行补投并统计</w:t>
            </w:r>
          </w:p>
        </w:tc>
      </w:tr>
      <w:tr w14:paraId="27707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286" w:type="dxa"/>
            <w:gridSpan w:val="3"/>
            <w:noWrap w:val="0"/>
            <w:vAlign w:val="center"/>
          </w:tcPr>
          <w:p w14:paraId="2EE25891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电梯</w:t>
            </w:r>
          </w:p>
        </w:tc>
        <w:tc>
          <w:tcPr>
            <w:tcW w:w="1135" w:type="dxa"/>
            <w:gridSpan w:val="2"/>
            <w:noWrap w:val="0"/>
            <w:vAlign w:val="center"/>
          </w:tcPr>
          <w:p w14:paraId="27A64AE3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飞虫、蟑螂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 w14:paraId="48EFC793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lang w:val="en-US" w:eastAsia="zh-CN"/>
              </w:rPr>
              <w:t>20%呋虫胺</w:t>
            </w:r>
          </w:p>
        </w:tc>
        <w:tc>
          <w:tcPr>
            <w:tcW w:w="3966" w:type="dxa"/>
            <w:noWrap w:val="0"/>
            <w:vAlign w:val="center"/>
          </w:tcPr>
          <w:p w14:paraId="4CEC5FE5">
            <w:pPr>
              <w:spacing w:line="280" w:lineRule="exact"/>
              <w:jc w:val="left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电梯井内投放缓试剂，同时进行滞留喷洒，防止孳生飞虫</w:t>
            </w:r>
          </w:p>
        </w:tc>
      </w:tr>
      <w:tr w14:paraId="2E5DC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286" w:type="dxa"/>
            <w:gridSpan w:val="3"/>
            <w:noWrap w:val="0"/>
            <w:vAlign w:val="center"/>
          </w:tcPr>
          <w:p w14:paraId="3945CE2D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管道井、消防栓</w:t>
            </w:r>
          </w:p>
        </w:tc>
        <w:tc>
          <w:tcPr>
            <w:tcW w:w="1135" w:type="dxa"/>
            <w:gridSpan w:val="2"/>
            <w:noWrap w:val="0"/>
            <w:vAlign w:val="center"/>
          </w:tcPr>
          <w:p w14:paraId="379DC1E8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蟑螂、鼠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 w14:paraId="2448624D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灭蟑颗粒、</w:t>
            </w:r>
            <w:r>
              <w:rPr>
                <w:rFonts w:hint="eastAsia" w:ascii="Times New Roman" w:hAnsi="Times New Roman" w:eastAsia="方正仿宋简体" w:cs="Times New Roman"/>
                <w:lang w:val="en-US" w:eastAsia="zh-CN"/>
              </w:rPr>
              <w:t>灭蟑</w:t>
            </w:r>
            <w:r>
              <w:rPr>
                <w:rFonts w:hint="default" w:ascii="Times New Roman" w:hAnsi="Times New Roman" w:eastAsia="方正仿宋简体" w:cs="Times New Roman"/>
              </w:rPr>
              <w:t>胶饵、</w:t>
            </w:r>
            <w:r>
              <w:rPr>
                <w:rFonts w:hint="eastAsia" w:ascii="Times New Roman" w:hAnsi="Times New Roman" w:eastAsia="方正仿宋简体" w:cs="Times New Roman"/>
                <w:lang w:val="en-US" w:eastAsia="zh-CN"/>
              </w:rPr>
              <w:t>0.005%溴鼠灵诱饵</w:t>
            </w:r>
            <w:r>
              <w:rPr>
                <w:rFonts w:hint="default" w:ascii="Times New Roman" w:hAnsi="Times New Roman" w:eastAsia="方正仿宋简体" w:cs="Times New Roman"/>
              </w:rPr>
              <w:t>、粘鼠板</w:t>
            </w:r>
          </w:p>
        </w:tc>
        <w:tc>
          <w:tcPr>
            <w:tcW w:w="3966" w:type="dxa"/>
            <w:noWrap w:val="0"/>
            <w:vAlign w:val="center"/>
          </w:tcPr>
          <w:p w14:paraId="5C403796">
            <w:pPr>
              <w:spacing w:line="280" w:lineRule="exact"/>
              <w:jc w:val="left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角落点放胶饵、投放灭蟑颗粒剂预防蟑螂，同时投放粘鼠板和</w:t>
            </w:r>
            <w:r>
              <w:rPr>
                <w:rFonts w:hint="eastAsia" w:ascii="Times New Roman" w:hAnsi="Times New Roman" w:eastAsia="方正仿宋简体" w:cs="Times New Roman"/>
                <w:lang w:val="en-US" w:eastAsia="zh-CN"/>
              </w:rPr>
              <w:t>0.005%溴鼠灵诱饵</w:t>
            </w:r>
            <w:r>
              <w:rPr>
                <w:rFonts w:hint="default" w:ascii="Times New Roman" w:hAnsi="Times New Roman" w:eastAsia="方正仿宋简体" w:cs="Times New Roman"/>
              </w:rPr>
              <w:t>，对鼠类进行灭杀和监控</w:t>
            </w:r>
          </w:p>
        </w:tc>
      </w:tr>
      <w:tr w14:paraId="11FD4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286" w:type="dxa"/>
            <w:gridSpan w:val="3"/>
            <w:noWrap w:val="0"/>
            <w:vAlign w:val="center"/>
          </w:tcPr>
          <w:p w14:paraId="3E694031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所有天花板</w:t>
            </w:r>
          </w:p>
        </w:tc>
        <w:tc>
          <w:tcPr>
            <w:tcW w:w="1135" w:type="dxa"/>
            <w:gridSpan w:val="2"/>
            <w:noWrap w:val="0"/>
            <w:vAlign w:val="center"/>
          </w:tcPr>
          <w:p w14:paraId="73F4150A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鼠类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 w14:paraId="3C1B5ACD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强力粘鼠板</w:t>
            </w:r>
          </w:p>
        </w:tc>
        <w:tc>
          <w:tcPr>
            <w:tcW w:w="3966" w:type="dxa"/>
            <w:noWrap w:val="0"/>
            <w:vAlign w:val="center"/>
          </w:tcPr>
          <w:p w14:paraId="312C08C9">
            <w:pPr>
              <w:spacing w:line="280" w:lineRule="exact"/>
              <w:jc w:val="left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检查是否存在结构漏洞，一经发现，将给出建设性意见整改补洞；</w:t>
            </w:r>
          </w:p>
        </w:tc>
      </w:tr>
      <w:tr w14:paraId="5CD4E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286" w:type="dxa"/>
            <w:gridSpan w:val="3"/>
            <w:noWrap w:val="0"/>
            <w:vAlign w:val="center"/>
          </w:tcPr>
          <w:p w14:paraId="4A5B43BE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  <w:szCs w:val="28"/>
              </w:rPr>
              <w:t>更衣室</w:t>
            </w:r>
          </w:p>
        </w:tc>
        <w:tc>
          <w:tcPr>
            <w:tcW w:w="1135" w:type="dxa"/>
            <w:gridSpan w:val="2"/>
            <w:noWrap w:val="0"/>
            <w:vAlign w:val="center"/>
          </w:tcPr>
          <w:p w14:paraId="4F39E6CC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鼠类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 w14:paraId="379BE2B0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粘鼠板</w:t>
            </w:r>
          </w:p>
        </w:tc>
        <w:tc>
          <w:tcPr>
            <w:tcW w:w="3966" w:type="dxa"/>
            <w:noWrap w:val="0"/>
            <w:vAlign w:val="center"/>
          </w:tcPr>
          <w:p w14:paraId="1A9F0269">
            <w:pPr>
              <w:spacing w:line="280" w:lineRule="exact"/>
              <w:jc w:val="left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设点布放毒饵盒和粘鼠板10米-15米一个</w:t>
            </w:r>
          </w:p>
        </w:tc>
      </w:tr>
      <w:tr w14:paraId="07051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286" w:type="dxa"/>
            <w:gridSpan w:val="3"/>
            <w:noWrap w:val="0"/>
            <w:vAlign w:val="center"/>
          </w:tcPr>
          <w:p w14:paraId="6B5A8216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  <w:szCs w:val="28"/>
              </w:rPr>
              <w:t>机房</w:t>
            </w:r>
          </w:p>
        </w:tc>
        <w:tc>
          <w:tcPr>
            <w:tcW w:w="1135" w:type="dxa"/>
            <w:gridSpan w:val="2"/>
            <w:noWrap w:val="0"/>
            <w:vAlign w:val="center"/>
          </w:tcPr>
          <w:p w14:paraId="11A1B757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鼠类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 w14:paraId="65D7FBBF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lang w:val="en-US" w:eastAsia="zh-CN"/>
              </w:rPr>
              <w:t>0.005%溴鼠灵诱饵</w:t>
            </w:r>
          </w:p>
        </w:tc>
        <w:tc>
          <w:tcPr>
            <w:tcW w:w="3966" w:type="dxa"/>
            <w:noWrap w:val="0"/>
            <w:vAlign w:val="center"/>
          </w:tcPr>
          <w:p w14:paraId="63FD9930">
            <w:pPr>
              <w:spacing w:line="280" w:lineRule="exact"/>
              <w:jc w:val="left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建议安装挡鼠板、10米-15米布放虫害检测器以及鼠饵盒</w:t>
            </w:r>
          </w:p>
        </w:tc>
      </w:tr>
      <w:tr w14:paraId="310DB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8291" w:type="dxa"/>
            <w:gridSpan w:val="8"/>
            <w:noWrap w:val="0"/>
            <w:vAlign w:val="center"/>
          </w:tcPr>
          <w:p w14:paraId="62E3E126">
            <w:pPr>
              <w:jc w:val="both"/>
              <w:rPr>
                <w:rFonts w:hint="eastAsia" w:ascii="方正仿宋简体" w:hAnsi="方正仿宋简体" w:eastAsia="方正仿宋简体" w:cs="方正仿宋简体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lang w:val="en-US" w:eastAsia="zh-CN"/>
              </w:rPr>
              <w:t>外环境爬虫控制</w:t>
            </w:r>
          </w:p>
        </w:tc>
      </w:tr>
      <w:tr w14:paraId="002EA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286" w:type="dxa"/>
            <w:gridSpan w:val="3"/>
            <w:noWrap w:val="0"/>
            <w:vAlign w:val="center"/>
          </w:tcPr>
          <w:p w14:paraId="0266ABE7">
            <w:pPr>
              <w:jc w:val="center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防治区域</w:t>
            </w:r>
          </w:p>
        </w:tc>
        <w:tc>
          <w:tcPr>
            <w:tcW w:w="1135" w:type="dxa"/>
            <w:gridSpan w:val="2"/>
            <w:noWrap w:val="0"/>
            <w:vAlign w:val="center"/>
          </w:tcPr>
          <w:p w14:paraId="24C4C494">
            <w:pPr>
              <w:jc w:val="center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防治对象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 w14:paraId="6D625993">
            <w:pPr>
              <w:jc w:val="center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使用药品</w:t>
            </w:r>
          </w:p>
        </w:tc>
        <w:tc>
          <w:tcPr>
            <w:tcW w:w="3966" w:type="dxa"/>
            <w:noWrap w:val="0"/>
            <w:vAlign w:val="center"/>
          </w:tcPr>
          <w:p w14:paraId="182546B5">
            <w:pPr>
              <w:jc w:val="center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操作方法</w:t>
            </w:r>
          </w:p>
        </w:tc>
      </w:tr>
      <w:tr w14:paraId="3807B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286" w:type="dxa"/>
            <w:gridSpan w:val="3"/>
            <w:vMerge w:val="restart"/>
            <w:noWrap w:val="0"/>
            <w:vAlign w:val="center"/>
          </w:tcPr>
          <w:p w14:paraId="3880F9D1">
            <w:pPr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8"/>
              </w:rPr>
              <w:t>建筑外围绿化带</w:t>
            </w:r>
          </w:p>
        </w:tc>
        <w:tc>
          <w:tcPr>
            <w:tcW w:w="1135" w:type="dxa"/>
            <w:gridSpan w:val="2"/>
            <w:vMerge w:val="restart"/>
            <w:noWrap w:val="0"/>
            <w:vAlign w:val="center"/>
          </w:tcPr>
          <w:p w14:paraId="7ED4CE2E">
            <w:pPr>
              <w:jc w:val="center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各类爬虫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 w14:paraId="0796B130">
            <w:pPr>
              <w:jc w:val="center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辛硫磷颗粒剂</w:t>
            </w:r>
          </w:p>
        </w:tc>
        <w:tc>
          <w:tcPr>
            <w:tcW w:w="3966" w:type="dxa"/>
            <w:noWrap w:val="0"/>
            <w:vAlign w:val="center"/>
          </w:tcPr>
          <w:p w14:paraId="32A82AAF">
            <w:pPr>
              <w:jc w:val="left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与沙土复配，根据季节在绿化带内及人行道两侧绿化带中布置药带，灭杀爬虫的成虫及卵</w:t>
            </w:r>
          </w:p>
        </w:tc>
      </w:tr>
      <w:tr w14:paraId="4C78D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286" w:type="dxa"/>
            <w:gridSpan w:val="3"/>
            <w:vMerge w:val="continue"/>
            <w:noWrap w:val="0"/>
            <w:vAlign w:val="center"/>
          </w:tcPr>
          <w:p w14:paraId="7C080B41">
            <w:pPr>
              <w:jc w:val="center"/>
              <w:rPr>
                <w:rFonts w:hint="eastAsia" w:ascii="方正仿宋简体" w:hAnsi="方正仿宋简体" w:eastAsia="方正仿宋简体" w:cs="方正仿宋简体"/>
                <w:szCs w:val="28"/>
              </w:rPr>
            </w:pPr>
          </w:p>
        </w:tc>
        <w:tc>
          <w:tcPr>
            <w:tcW w:w="1135" w:type="dxa"/>
            <w:gridSpan w:val="2"/>
            <w:vMerge w:val="continue"/>
            <w:noWrap w:val="0"/>
            <w:vAlign w:val="center"/>
          </w:tcPr>
          <w:p w14:paraId="7EFB9507">
            <w:pPr>
              <w:jc w:val="center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904" w:type="dxa"/>
            <w:gridSpan w:val="2"/>
            <w:noWrap w:val="0"/>
            <w:vAlign w:val="center"/>
          </w:tcPr>
          <w:p w14:paraId="08E5AC86">
            <w:pPr>
              <w:jc w:val="center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除敌、无味乳油</w:t>
            </w:r>
          </w:p>
        </w:tc>
        <w:tc>
          <w:tcPr>
            <w:tcW w:w="3966" w:type="dxa"/>
            <w:noWrap w:val="0"/>
            <w:vAlign w:val="center"/>
          </w:tcPr>
          <w:p w14:paraId="3109E85A">
            <w:pPr>
              <w:jc w:val="left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对人行道两侧进行滞留喷洒杀灭各类爬虫的成虫</w:t>
            </w:r>
          </w:p>
        </w:tc>
      </w:tr>
      <w:tr w14:paraId="35878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86" w:type="dxa"/>
            <w:gridSpan w:val="3"/>
            <w:noWrap w:val="0"/>
            <w:vAlign w:val="center"/>
          </w:tcPr>
          <w:p w14:paraId="1FEFD25F">
            <w:pPr>
              <w:jc w:val="center"/>
              <w:rPr>
                <w:rFonts w:hint="eastAsia" w:ascii="方正仿宋简体" w:hAnsi="方正仿宋简体" w:eastAsia="方正仿宋简体" w:cs="方正仿宋简体"/>
                <w:szCs w:val="28"/>
              </w:rPr>
            </w:pPr>
          </w:p>
        </w:tc>
        <w:tc>
          <w:tcPr>
            <w:tcW w:w="1135" w:type="dxa"/>
            <w:gridSpan w:val="2"/>
            <w:noWrap w:val="0"/>
            <w:vAlign w:val="center"/>
          </w:tcPr>
          <w:p w14:paraId="15BE3EB6">
            <w:pPr>
              <w:jc w:val="center"/>
              <w:rPr>
                <w:rFonts w:hint="eastAsia" w:ascii="方正仿宋简体" w:hAnsi="方正仿宋简体" w:eastAsia="方正仿宋简体" w:cs="方正仿宋简体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lang w:val="en-US" w:eastAsia="zh-CN"/>
              </w:rPr>
              <w:t>蛇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 w14:paraId="1E7A1B11">
            <w:pPr>
              <w:jc w:val="center"/>
              <w:rPr>
                <w:rFonts w:hint="eastAsia" w:ascii="方正仿宋简体" w:hAnsi="方正仿宋简体" w:eastAsia="方正仿宋简体" w:cs="方正仿宋简体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lang w:val="en-US" w:eastAsia="zh-CN"/>
              </w:rPr>
              <w:t>驱蛇颗粒</w:t>
            </w:r>
          </w:p>
        </w:tc>
        <w:tc>
          <w:tcPr>
            <w:tcW w:w="3966" w:type="dxa"/>
            <w:noWrap w:val="0"/>
            <w:vAlign w:val="center"/>
          </w:tcPr>
          <w:p w14:paraId="7803B644">
            <w:pPr>
              <w:jc w:val="left"/>
              <w:rPr>
                <w:rFonts w:hint="eastAsia" w:ascii="方正仿宋简体" w:hAnsi="方正仿宋简体" w:eastAsia="方正仿宋简体" w:cs="方正仿宋简体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lang w:val="en-US" w:eastAsia="zh-CN"/>
              </w:rPr>
              <w:t>沿建筑外围绿化带内侧撒一圈驱蛇颗粒剂，并针对特殊点位进行驱蛇盒的安装布防。</w:t>
            </w:r>
          </w:p>
        </w:tc>
      </w:tr>
    </w:tbl>
    <w:p w14:paraId="50883F4E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495" w:lineRule="atLeast"/>
        <w:ind w:right="0" w:rightChars="0" w:firstLine="644" w:firstLineChars="200"/>
        <w:jc w:val="both"/>
        <w:textAlignment w:val="baseline"/>
        <w:rPr>
          <w:rFonts w:hint="eastAsia" w:ascii="方正楷体简体" w:hAnsi="方正楷体简体" w:eastAsia="方正楷体简体" w:cs="方正楷体简体"/>
          <w:b w:val="0"/>
          <w:bCs w:val="0"/>
          <w:snapToGrid w:val="0"/>
          <w:color w:val="000000"/>
          <w:spacing w:val="1"/>
          <w:kern w:val="0"/>
          <w:position w:val="1"/>
          <w:sz w:val="32"/>
          <w:szCs w:val="32"/>
          <w:lang w:val="en-US" w:eastAsia="zh-CN" w:bidi="ar-SA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napToGrid w:val="0"/>
          <w:color w:val="000000"/>
          <w:spacing w:val="1"/>
          <w:kern w:val="0"/>
          <w:position w:val="1"/>
          <w:sz w:val="32"/>
          <w:szCs w:val="32"/>
          <w:lang w:val="en-US" w:eastAsia="zh-CN" w:bidi="ar-SA"/>
        </w:rPr>
        <w:t>（三）服务面积</w:t>
      </w:r>
    </w:p>
    <w:p w14:paraId="6342BA07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495" w:lineRule="atLeast"/>
        <w:ind w:leftChars="200" w:right="0" w:rightChars="0"/>
        <w:jc w:val="both"/>
        <w:textAlignment w:val="baseline"/>
        <w:rPr>
          <w:rFonts w:hint="eastAsia" w:ascii="方正楷体简体" w:hAnsi="方正楷体简体" w:eastAsia="方正楷体简体" w:cs="方正楷体简体"/>
          <w:b w:val="0"/>
          <w:bCs w:val="0"/>
          <w:snapToGrid w:val="0"/>
          <w:color w:val="000000"/>
          <w:spacing w:val="1"/>
          <w:kern w:val="0"/>
          <w:position w:val="1"/>
          <w:sz w:val="32"/>
          <w:szCs w:val="32"/>
          <w:lang w:val="en-US" w:eastAsia="zh-CN" w:bidi="ar-SA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napToGrid w:val="0"/>
          <w:color w:val="000000"/>
          <w:spacing w:val="1"/>
          <w:kern w:val="0"/>
          <w:position w:val="1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方正仿宋简体" w:cs="Times New Roman"/>
          <w:b w:val="0"/>
          <w:bCs w:val="0"/>
          <w:snapToGrid w:val="0"/>
          <w:color w:val="000000"/>
          <w:spacing w:val="2"/>
          <w:kern w:val="0"/>
          <w:sz w:val="32"/>
          <w:szCs w:val="32"/>
          <w:lang w:val="en-US" w:eastAsia="zh-CN" w:bidi="ar-SA"/>
        </w:rPr>
        <w:t>酒店室内外（含地下室、地面车位、屋顶及室外广场、绿地）总面积：12513.08㎡。</w:t>
      </w:r>
    </w:p>
    <w:p w14:paraId="697B7A43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495" w:lineRule="atLeast"/>
        <w:ind w:right="0" w:rightChars="0" w:firstLine="644" w:firstLineChars="200"/>
        <w:jc w:val="both"/>
        <w:textAlignment w:val="baseline"/>
        <w:rPr>
          <w:rFonts w:hint="eastAsia" w:ascii="方正楷体简体" w:hAnsi="方正楷体简体" w:eastAsia="方正楷体简体" w:cs="方正楷体简体"/>
          <w:b w:val="0"/>
          <w:bCs w:val="0"/>
          <w:snapToGrid w:val="0"/>
          <w:color w:val="000000"/>
          <w:spacing w:val="1"/>
          <w:kern w:val="0"/>
          <w:position w:val="1"/>
          <w:sz w:val="32"/>
          <w:szCs w:val="32"/>
          <w:lang w:val="en-US" w:eastAsia="zh-CN" w:bidi="ar-SA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napToGrid w:val="0"/>
          <w:color w:val="000000"/>
          <w:spacing w:val="1"/>
          <w:kern w:val="0"/>
          <w:position w:val="1"/>
          <w:sz w:val="32"/>
          <w:szCs w:val="32"/>
          <w:lang w:val="en-US" w:eastAsia="zh-CN" w:bidi="ar-SA"/>
        </w:rPr>
        <w:t>（四）验收标准</w:t>
      </w:r>
    </w:p>
    <w:p w14:paraId="70812366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按照 GB/T 27770、GB/T 27771、GB/T 27772、GB/T 27773 中病媒生物密度控制水平的相关指标，或依据宾馆饭店内部管理要求，或其他约定进行</w:t>
      </w:r>
      <w:r>
        <w:rPr>
          <w:rFonts w:hint="eastAsia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防治效果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评价。</w:t>
      </w:r>
    </w:p>
    <w:tbl>
      <w:tblPr>
        <w:tblStyle w:val="11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7"/>
        <w:gridCol w:w="6531"/>
      </w:tblGrid>
      <w:tr w14:paraId="336AA4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single" w:color="auto" w:sz="6" w:space="0"/>
            </w:tcBorders>
            <w:shd w:val="clear" w:color="auto" w:fill="E6E6E6"/>
            <w:noWrap w:val="0"/>
            <w:vAlign w:val="center"/>
          </w:tcPr>
          <w:p w14:paraId="06CAD5EF">
            <w:pPr>
              <w:pStyle w:val="7"/>
              <w:spacing w:before="100" w:beforeAutospacing="1" w:line="400" w:lineRule="exact"/>
              <w:ind w:left="0" w:leftChars="0" w:right="-113" w:rightChars="-54"/>
              <w:jc w:val="center"/>
              <w:rPr>
                <w:rFonts w:hint="default"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1"/>
                <w:szCs w:val="21"/>
              </w:rPr>
              <w:t>项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z w:val="21"/>
                <w:szCs w:val="21"/>
              </w:rPr>
              <w:t>目</w:t>
            </w:r>
          </w:p>
        </w:tc>
        <w:tc>
          <w:tcPr>
            <w:tcW w:w="6660" w:type="dxa"/>
            <w:tcBorders>
              <w:top w:val="single" w:color="auto" w:sz="12" w:space="0"/>
              <w:bottom w:val="single" w:color="auto" w:sz="6" w:space="0"/>
            </w:tcBorders>
            <w:shd w:val="clear" w:color="auto" w:fill="E6E6E6"/>
            <w:noWrap w:val="0"/>
            <w:vAlign w:val="center"/>
          </w:tcPr>
          <w:p w14:paraId="1797458D">
            <w:pPr>
              <w:pStyle w:val="7"/>
              <w:spacing w:before="100" w:beforeAutospacing="1" w:line="400" w:lineRule="exact"/>
              <w:ind w:left="-113" w:leftChars="-54" w:right="-149" w:rightChars="-71" w:firstLine="4" w:firstLineChars="2"/>
              <w:jc w:val="center"/>
              <w:rPr>
                <w:rFonts w:hint="default"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1"/>
                <w:szCs w:val="21"/>
              </w:rPr>
              <w:t>控制标准</w:t>
            </w:r>
          </w:p>
        </w:tc>
      </w:tr>
      <w:tr w14:paraId="6C5ACD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2461" w:type="dxa"/>
            <w:tcBorders>
              <w:top w:val="single" w:color="auto" w:sz="6" w:space="0"/>
            </w:tcBorders>
            <w:noWrap w:val="0"/>
            <w:vAlign w:val="center"/>
          </w:tcPr>
          <w:p w14:paraId="4C06448B">
            <w:pPr>
              <w:pStyle w:val="7"/>
              <w:spacing w:before="100" w:beforeAutospacing="1" w:line="400" w:lineRule="exact"/>
              <w:ind w:left="-36" w:leftChars="-17" w:right="86"/>
              <w:jc w:val="center"/>
              <w:rPr>
                <w:rFonts w:hint="default" w:ascii="Times New Roman" w:hAnsi="Times New Roman" w:eastAsia="方正仿宋简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灭鼠</w:t>
            </w:r>
          </w:p>
        </w:tc>
        <w:tc>
          <w:tcPr>
            <w:tcW w:w="6660" w:type="dxa"/>
            <w:tcBorders>
              <w:top w:val="single" w:color="auto" w:sz="6" w:space="0"/>
            </w:tcBorders>
            <w:noWrap w:val="0"/>
            <w:vAlign w:val="center"/>
          </w:tcPr>
          <w:p w14:paraId="521D2F6F">
            <w:pPr>
              <w:pStyle w:val="7"/>
              <w:spacing w:before="100" w:beforeAutospacing="1" w:line="400" w:lineRule="exact"/>
              <w:ind w:left="-36" w:leftChars="-17" w:right="86" w:firstLine="4" w:firstLineChars="2"/>
              <w:rPr>
                <w:rFonts w:hint="default" w:ascii="Times New Roman" w:hAnsi="Times New Roman" w:eastAsia="方正仿宋简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鼠密度（粉迹法）≤3%，有鼠迹的房间≤2%，防鼠设施不合格处≤5%</w:t>
            </w:r>
          </w:p>
        </w:tc>
      </w:tr>
      <w:tr w14:paraId="6FAE95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2461" w:type="dxa"/>
            <w:noWrap w:val="0"/>
            <w:vAlign w:val="center"/>
          </w:tcPr>
          <w:p w14:paraId="1D338082">
            <w:pPr>
              <w:pStyle w:val="7"/>
              <w:spacing w:before="100" w:beforeAutospacing="1" w:line="400" w:lineRule="exact"/>
              <w:ind w:left="-36" w:leftChars="-17" w:right="86"/>
              <w:jc w:val="center"/>
              <w:rPr>
                <w:rFonts w:hint="default" w:ascii="Times New Roman" w:hAnsi="Times New Roman" w:eastAsia="方正仿宋简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灭蟑螂</w:t>
            </w:r>
          </w:p>
        </w:tc>
        <w:tc>
          <w:tcPr>
            <w:tcW w:w="6660" w:type="dxa"/>
            <w:noWrap w:val="0"/>
            <w:vAlign w:val="center"/>
          </w:tcPr>
          <w:p w14:paraId="133CD95D">
            <w:pPr>
              <w:pStyle w:val="7"/>
              <w:spacing w:before="100" w:beforeAutospacing="1" w:line="400" w:lineRule="exact"/>
              <w:ind w:left="-36" w:leftChars="-17" w:right="86" w:firstLine="4" w:firstLineChars="2"/>
              <w:rPr>
                <w:rFonts w:hint="default" w:ascii="Times New Roman" w:hAnsi="Times New Roman" w:eastAsia="方正仿宋简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有蟑螂房间≤3%，平均每阳性房间大蠊≤5只，小蠊≤10只</w:t>
            </w:r>
          </w:p>
        </w:tc>
      </w:tr>
      <w:tr w14:paraId="2FE450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461" w:type="dxa"/>
            <w:noWrap w:val="0"/>
            <w:vAlign w:val="center"/>
          </w:tcPr>
          <w:p w14:paraId="1B5EE35E">
            <w:pPr>
              <w:pStyle w:val="7"/>
              <w:spacing w:before="100" w:beforeAutospacing="1" w:line="400" w:lineRule="exact"/>
              <w:ind w:left="-36" w:leftChars="-17" w:right="86"/>
              <w:jc w:val="center"/>
              <w:rPr>
                <w:rFonts w:hint="default" w:ascii="Times New Roman" w:hAnsi="Times New Roman" w:eastAsia="方正仿宋简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灭蝇</w:t>
            </w:r>
          </w:p>
        </w:tc>
        <w:tc>
          <w:tcPr>
            <w:tcW w:w="6660" w:type="dxa"/>
            <w:noWrap w:val="0"/>
            <w:vAlign w:val="center"/>
          </w:tcPr>
          <w:p w14:paraId="6223CF5D">
            <w:pPr>
              <w:pStyle w:val="7"/>
              <w:spacing w:before="100" w:beforeAutospacing="1" w:line="400" w:lineRule="exact"/>
              <w:ind w:left="-36" w:leftChars="-17" w:right="86" w:firstLine="4" w:firstLineChars="2"/>
              <w:rPr>
                <w:rFonts w:hint="default" w:ascii="Times New Roman" w:hAnsi="Times New Roman" w:eastAsia="方正仿宋简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成蝇一次性杀灭率≥96%</w:t>
            </w:r>
          </w:p>
        </w:tc>
      </w:tr>
      <w:tr w14:paraId="5F3182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461" w:type="dxa"/>
            <w:noWrap w:val="0"/>
            <w:vAlign w:val="center"/>
          </w:tcPr>
          <w:p w14:paraId="517D6ADA">
            <w:pPr>
              <w:pStyle w:val="7"/>
              <w:spacing w:before="100" w:beforeAutospacing="1" w:line="400" w:lineRule="exact"/>
              <w:ind w:left="-36" w:leftChars="-17" w:right="86"/>
              <w:jc w:val="center"/>
              <w:rPr>
                <w:rFonts w:hint="default" w:ascii="Times New Roman" w:hAnsi="Times New Roman" w:eastAsia="方正仿宋简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灭蚊</w:t>
            </w:r>
          </w:p>
        </w:tc>
        <w:tc>
          <w:tcPr>
            <w:tcW w:w="6660" w:type="dxa"/>
            <w:noWrap w:val="0"/>
            <w:vAlign w:val="center"/>
          </w:tcPr>
          <w:p w14:paraId="7696F5FA">
            <w:pPr>
              <w:pStyle w:val="7"/>
              <w:spacing w:before="100" w:beforeAutospacing="1" w:line="400" w:lineRule="exact"/>
              <w:ind w:left="-36" w:leftChars="-17" w:right="86" w:firstLine="4" w:firstLineChars="2"/>
              <w:rPr>
                <w:rFonts w:hint="default" w:ascii="Times New Roman" w:hAnsi="Times New Roman" w:eastAsia="方正仿宋简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成蚊一次性杀灭率≥96%</w:t>
            </w:r>
          </w:p>
        </w:tc>
      </w:tr>
      <w:tr w14:paraId="376CD8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461" w:type="dxa"/>
            <w:noWrap w:val="0"/>
            <w:vAlign w:val="center"/>
          </w:tcPr>
          <w:p w14:paraId="2B2D8B8A">
            <w:pPr>
              <w:pStyle w:val="7"/>
              <w:spacing w:before="100" w:beforeAutospacing="1" w:line="400" w:lineRule="exact"/>
              <w:ind w:left="-36" w:leftChars="-17" w:right="86"/>
              <w:jc w:val="center"/>
              <w:rPr>
                <w:rFonts w:hint="default" w:ascii="Times New Roman" w:hAnsi="Times New Roman" w:eastAsia="方正仿宋简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驱蛇</w:t>
            </w:r>
          </w:p>
        </w:tc>
        <w:tc>
          <w:tcPr>
            <w:tcW w:w="6660" w:type="dxa"/>
            <w:noWrap w:val="0"/>
            <w:vAlign w:val="center"/>
          </w:tcPr>
          <w:p w14:paraId="13656B85">
            <w:pPr>
              <w:pStyle w:val="7"/>
              <w:spacing w:before="100" w:beforeAutospacing="1" w:line="400" w:lineRule="exact"/>
              <w:ind w:left="-36" w:leftChars="-17" w:right="86" w:firstLine="4" w:firstLineChars="2"/>
              <w:jc w:val="left"/>
              <w:rPr>
                <w:rFonts w:hint="default" w:ascii="Times New Roman" w:hAnsi="Times New Roman" w:eastAsia="方正仿宋简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驱蛇入侵≤2条</w:t>
            </w:r>
          </w:p>
        </w:tc>
      </w:tr>
    </w:tbl>
    <w:p w14:paraId="7A461678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right="0" w:rightChars="0" w:firstLine="644" w:firstLineChars="200"/>
        <w:jc w:val="both"/>
        <w:textAlignment w:val="baseline"/>
        <w:rPr>
          <w:rFonts w:hint="eastAsia" w:ascii="方正楷体简体" w:hAnsi="方正楷体简体" w:eastAsia="方正楷体简体" w:cs="方正楷体简体"/>
          <w:b w:val="0"/>
          <w:bCs w:val="0"/>
          <w:snapToGrid w:val="0"/>
          <w:color w:val="000000"/>
          <w:spacing w:val="1"/>
          <w:kern w:val="0"/>
          <w:position w:val="1"/>
          <w:sz w:val="32"/>
          <w:szCs w:val="32"/>
          <w:lang w:val="en-US" w:eastAsia="zh-CN" w:bidi="ar-SA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napToGrid w:val="0"/>
          <w:color w:val="000000"/>
          <w:spacing w:val="1"/>
          <w:kern w:val="0"/>
          <w:position w:val="1"/>
          <w:sz w:val="32"/>
          <w:szCs w:val="32"/>
          <w:lang w:val="en-US" w:eastAsia="zh-CN" w:bidi="ar-SA"/>
        </w:rPr>
        <w:t>（五）应急及特殊情况处理</w:t>
      </w:r>
    </w:p>
    <w:p w14:paraId="46FC72C5">
      <w:pPr>
        <w:pStyle w:val="5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164" w:line="580" w:lineRule="exact"/>
        <w:ind w:firstLine="648" w:firstLineChars="200"/>
        <w:textAlignment w:val="baseline"/>
        <w:rPr>
          <w:rFonts w:hint="default" w:ascii="Times New Roman" w:hAnsi="Times New Roman" w:eastAsia="方正仿宋简体" w:cs="Times New Roman"/>
          <w:bCs/>
          <w:color w:val="333333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pacing w:val="2"/>
          <w:sz w:val="32"/>
          <w:szCs w:val="32"/>
          <w:lang w:val="en-US" w:eastAsia="zh-CN"/>
        </w:rPr>
        <w:t>遇到应急情况，乙方需在</w:t>
      </w:r>
      <w:r>
        <w:rPr>
          <w:rFonts w:hint="eastAsia" w:eastAsia="方正仿宋简体" w:cs="Times New Roman"/>
          <w:b w:val="0"/>
          <w:bCs w:val="0"/>
          <w:spacing w:val="2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b w:val="0"/>
          <w:bCs w:val="0"/>
          <w:spacing w:val="2"/>
          <w:sz w:val="32"/>
          <w:szCs w:val="32"/>
          <w:lang w:val="en-US" w:eastAsia="zh-CN"/>
        </w:rPr>
        <w:t>小时内响应</w:t>
      </w:r>
      <w:r>
        <w:rPr>
          <w:rFonts w:hint="eastAsia" w:eastAsia="方正仿宋简体" w:cs="Times New Roman"/>
          <w:b w:val="0"/>
          <w:bCs w:val="0"/>
          <w:spacing w:val="2"/>
          <w:sz w:val="32"/>
          <w:szCs w:val="32"/>
          <w:lang w:val="en-US" w:eastAsia="zh-CN"/>
        </w:rPr>
        <w:t>并</w:t>
      </w:r>
      <w:r>
        <w:rPr>
          <w:rFonts w:hint="default" w:ascii="Times New Roman" w:hAnsi="Times New Roman" w:eastAsia="方正仿宋简体" w:cs="Times New Roman"/>
          <w:b w:val="0"/>
          <w:bCs w:val="0"/>
          <w:spacing w:val="2"/>
          <w:sz w:val="32"/>
          <w:szCs w:val="32"/>
          <w:lang w:val="en-US" w:eastAsia="zh-CN"/>
        </w:rPr>
        <w:t>快速解决问题。</w:t>
      </w:r>
      <w:r>
        <w:rPr>
          <w:rFonts w:hint="default" w:ascii="Times New Roman" w:hAnsi="Times New Roman" w:eastAsia="方正仿宋简体" w:cs="Times New Roman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乙方施工频率因虫鼠密度波动或发生例外情况，经双方协商，可以在不增加服务次数前提下，调整服务时间。若一方需要增加或减少服务频次，另一方应在3个工作日内回复，并协商一致。协商不成，按照第</w:t>
      </w:r>
      <w:r>
        <w:rPr>
          <w:rFonts w:hint="eastAsia" w:eastAsia="方正仿宋简体" w:cs="Times New Roman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九</w:t>
      </w:r>
      <w:r>
        <w:rPr>
          <w:rFonts w:hint="default" w:ascii="Times New Roman" w:hAnsi="Times New Roman" w:eastAsia="方正仿宋简体" w:cs="Times New Roman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条“争议的解决”处理。</w:t>
      </w:r>
    </w:p>
    <w:p w14:paraId="22ABF293">
      <w:pPr>
        <w:bidi w:val="0"/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  <w:t>四、服务期限</w:t>
      </w:r>
    </w:p>
    <w:p w14:paraId="2C5F137A">
      <w:pPr>
        <w:keepNext w:val="0"/>
        <w:keepLines w:val="0"/>
        <w:pageBreakBefore w:val="0"/>
        <w:widowControl/>
        <w:suppressAutoHyphens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合同生效后乙方在1个工作日内安排进场启动有害生物防治施工，合同期限为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1年，合同起止日期： </w:t>
      </w:r>
      <w:r>
        <w:rPr>
          <w:rFonts w:hint="eastAsia" w:eastAsia="方正仿宋简体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年  月  日 至 </w:t>
      </w:r>
      <w:r>
        <w:rPr>
          <w:rFonts w:hint="eastAsia" w:eastAsia="方正仿宋简体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年   月   日 。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合同到期前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在原合同主要条款不改变的情况下如考核合格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可选择续签，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续签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不超过2次。</w:t>
      </w:r>
    </w:p>
    <w:p w14:paraId="68FBEAC5">
      <w:pPr>
        <w:bidi w:val="0"/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  <w:t>五、</w:t>
      </w:r>
      <w:r>
        <w:rPr>
          <w:rFonts w:hint="eastAsia" w:eastAsia="方正黑体简体" w:cs="Times New Roman"/>
          <w:sz w:val="32"/>
          <w:szCs w:val="32"/>
          <w:lang w:val="en-US" w:eastAsia="zh-CN"/>
        </w:rPr>
        <w:t>合同金额及支付方式</w:t>
      </w:r>
    </w:p>
    <w:p w14:paraId="6E5785E3">
      <w:pPr>
        <w:bidi w:val="0"/>
        <w:ind w:firstLine="640" w:firstLineChars="200"/>
        <w:rPr>
          <w:rFonts w:hint="eastAsia" w:eastAsia="方正仿宋简体" w:cs="Times New Roman"/>
          <w:color w:val="0000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eastAsia="方正仿宋简体" w:cs="Times New Roman"/>
          <w:color w:val="000000"/>
          <w:kern w:val="2"/>
          <w:sz w:val="32"/>
          <w:szCs w:val="32"/>
          <w:u w:val="none"/>
          <w:lang w:val="en-US" w:eastAsia="zh-CN" w:bidi="ar-SA"/>
        </w:rPr>
        <w:t>1、合同金额：年服务费含税金额：</w:t>
      </w:r>
      <w:r>
        <w:rPr>
          <w:rFonts w:hint="eastAsia" w:eastAsia="方正仿宋简体" w:cs="Times New Roman"/>
          <w:color w:val="000000"/>
          <w:kern w:val="2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eastAsia="方正仿宋简体" w:cs="Times New Roman"/>
          <w:color w:val="000000"/>
          <w:kern w:val="2"/>
          <w:sz w:val="32"/>
          <w:szCs w:val="32"/>
          <w:u w:val="none"/>
          <w:lang w:val="en-US" w:eastAsia="zh-CN" w:bidi="ar-SA"/>
        </w:rPr>
        <w:t>元（大写：      ），税率：</w:t>
      </w:r>
      <w:r>
        <w:rPr>
          <w:rFonts w:hint="eastAsia" w:eastAsia="方正仿宋简体" w:cs="Times New Roman"/>
          <w:color w:val="000000"/>
          <w:kern w:val="2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eastAsia="方正仿宋简体" w:cs="Times New Roman"/>
          <w:color w:val="000000"/>
          <w:kern w:val="2"/>
          <w:sz w:val="32"/>
          <w:szCs w:val="32"/>
          <w:u w:val="none"/>
          <w:lang w:val="en-US" w:eastAsia="zh-CN" w:bidi="ar-SA"/>
        </w:rPr>
        <w:t>，其中不含税金额：</w:t>
      </w:r>
      <w:r>
        <w:rPr>
          <w:rFonts w:hint="eastAsia" w:eastAsia="方正仿宋简体" w:cs="Times New Roman"/>
          <w:color w:val="000000"/>
          <w:kern w:val="2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eastAsia="方正仿宋简体" w:cs="Times New Roman"/>
          <w:color w:val="000000"/>
          <w:kern w:val="2"/>
          <w:sz w:val="32"/>
          <w:szCs w:val="32"/>
          <w:u w:val="none"/>
          <w:lang w:val="en-US" w:eastAsia="zh-CN" w:bidi="ar-SA"/>
        </w:rPr>
        <w:t>元，税额：</w:t>
      </w:r>
      <w:r>
        <w:rPr>
          <w:rFonts w:hint="eastAsia" w:eastAsia="方正仿宋简体" w:cs="Times New Roman"/>
          <w:color w:val="000000"/>
          <w:kern w:val="2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eastAsia="方正仿宋简体" w:cs="Times New Roman"/>
          <w:color w:val="000000"/>
          <w:kern w:val="2"/>
          <w:sz w:val="32"/>
          <w:szCs w:val="32"/>
          <w:u w:val="none"/>
          <w:lang w:val="en-US" w:eastAsia="zh-CN" w:bidi="ar-SA"/>
        </w:rPr>
        <w:t>元。</w:t>
      </w:r>
      <w:bookmarkStart w:id="0" w:name="_GoBack"/>
      <w:bookmarkEnd w:id="0"/>
    </w:p>
    <w:p w14:paraId="7138C853">
      <w:pPr>
        <w:bidi w:val="0"/>
        <w:ind w:firstLine="640" w:firstLineChars="200"/>
        <w:rPr>
          <w:rFonts w:hint="default" w:eastAsia="方正仿宋简体" w:cs="Times New Roman"/>
          <w:color w:val="0000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eastAsia="方正仿宋简体" w:cs="Times New Roman"/>
          <w:color w:val="000000"/>
          <w:kern w:val="2"/>
          <w:sz w:val="32"/>
          <w:szCs w:val="32"/>
          <w:u w:val="none"/>
          <w:lang w:val="en-US" w:eastAsia="zh-CN" w:bidi="ar-SA"/>
        </w:rPr>
        <w:t>2、服务费用由甲方</w:t>
      </w:r>
      <w:r>
        <w:rPr>
          <w:rFonts w:hint="eastAsia" w:eastAsia="方正仿宋简体" w:cs="Times New Roman"/>
          <w:color w:val="000000"/>
          <w:kern w:val="2"/>
          <w:sz w:val="32"/>
          <w:szCs w:val="32"/>
          <w:u w:val="single"/>
          <w:lang w:val="en-US" w:eastAsia="zh-CN" w:bidi="ar-SA"/>
        </w:rPr>
        <w:t>每季度付一次</w:t>
      </w:r>
      <w:r>
        <w:rPr>
          <w:rFonts w:hint="eastAsia" w:eastAsia="方正仿宋简体" w:cs="Times New Roman"/>
          <w:color w:val="000000"/>
          <w:kern w:val="2"/>
          <w:sz w:val="32"/>
          <w:szCs w:val="32"/>
          <w:u w:val="none"/>
          <w:lang w:val="en-US" w:eastAsia="zh-CN" w:bidi="ar-SA"/>
        </w:rPr>
        <w:t>，支付给乙方，具体支付方式：合同生效后，乙方向甲方开具合法合规的增值税专用发票，15个工作日内向乙方支付每季度服务费，即     元（大写：    ），甲方在收到乙方发票后15个工作日内将服务费支付给乙方。如遇节假日等特殊情况，付款时间可提前或顺延。</w:t>
      </w:r>
    </w:p>
    <w:p w14:paraId="438CC37C">
      <w:pPr>
        <w:bidi w:val="0"/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  <w:t>六、甲方的职责</w:t>
      </w:r>
    </w:p>
    <w:p w14:paraId="5A0A7CB5">
      <w:pPr>
        <w:pageBreakBefore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left"/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1、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有权对乙方的防治服务工作质量进行监督，提出整改、提升意见。</w:t>
      </w:r>
    </w:p>
    <w:p w14:paraId="59DD515B">
      <w:pPr>
        <w:pageBreakBefore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left"/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2、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指定专人对接乙方人员防治服务工作，并通知相关人员提供工作上的便利。</w:t>
      </w:r>
    </w:p>
    <w:p w14:paraId="45FD6B0C">
      <w:pPr>
        <w:pageBreakBefore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left"/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3、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乙方每次服务后，应指派人员</w:t>
      </w:r>
      <w:r>
        <w:rPr>
          <w:rFonts w:hint="eastAsia" w:eastAsia="方正仿宋简体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验收确认施工情况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30668F48">
      <w:pPr>
        <w:pageBreakBefore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left"/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4、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负责搞好单位的环境卫生，并在乙方的指导下落实施工过程中提交的有害生物防控建议。</w:t>
      </w:r>
    </w:p>
    <w:p w14:paraId="1A0C5766">
      <w:pPr>
        <w:pageBreakBefore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left"/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5、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对易发生人畜、宠物误食的投药场所，应当设立警示标识。</w:t>
      </w:r>
    </w:p>
    <w:p w14:paraId="0E5C3B07">
      <w:pPr>
        <w:pageBreakBefore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left"/>
        <w:rPr>
          <w:rFonts w:hint="default" w:ascii="Times New Roman" w:hAnsi="Times New Roman" w:eastAsia="方正仿宋简体" w:cs="Times New Roman"/>
          <w:color w:val="333333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333333"/>
          <w:kern w:val="0"/>
          <w:sz w:val="32"/>
          <w:szCs w:val="32"/>
          <w:lang w:val="en-US" w:eastAsia="zh-CN" w:bidi="ar-SA"/>
        </w:rPr>
        <w:t>6、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按时足额支付乙方防治服务费</w:t>
      </w:r>
      <w:r>
        <w:rPr>
          <w:rFonts w:hint="eastAsia" w:eastAsia="方正仿宋简体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用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5568E683">
      <w:pPr>
        <w:bidi w:val="0"/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  <w:t>七、乙方的职责</w:t>
      </w:r>
    </w:p>
    <w:p w14:paraId="14D89FE3">
      <w:pPr>
        <w:pageBreakBefore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left"/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1、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使用的药物和器械应合规、三证齐全。</w:t>
      </w:r>
    </w:p>
    <w:p w14:paraId="2A29117E">
      <w:pPr>
        <w:pageBreakBefore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left"/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2、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确保服务质量，使虫害控制水平达到合同规定的要求。</w:t>
      </w:r>
    </w:p>
    <w:p w14:paraId="45EDA137">
      <w:pPr>
        <w:pageBreakBefore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left"/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3、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按照合同约定频次实施防治服务，每次服务完毕提交有甲方签字的施工记录单。</w:t>
      </w:r>
    </w:p>
    <w:p w14:paraId="28F1B34B">
      <w:pPr>
        <w:pageBreakBefore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left"/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4、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现场服务时，要遵守甲方的有关规章制度，做到安全操作。</w:t>
      </w:r>
    </w:p>
    <w:p w14:paraId="5603DC0B">
      <w:pPr>
        <w:pageBreakBefore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left"/>
        <w:rPr>
          <w:rFonts w:hint="default" w:ascii="Times New Roman" w:hAnsi="Times New Roman" w:eastAsia="方正仿宋简体" w:cs="Times New Roman"/>
          <w:color w:val="333333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333333"/>
          <w:kern w:val="0"/>
          <w:sz w:val="32"/>
          <w:szCs w:val="32"/>
          <w:lang w:val="en-US" w:eastAsia="zh-CN" w:bidi="ar-SA"/>
        </w:rPr>
        <w:t>5、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落实甲方提出的整改或合理化建议，逐项整改并向甲方反馈。</w:t>
      </w:r>
    </w:p>
    <w:p w14:paraId="6F0D1894">
      <w:pPr>
        <w:bidi w:val="0"/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  <w:t>八、违约责任</w:t>
      </w:r>
    </w:p>
    <w:p w14:paraId="583BDB6B">
      <w:pPr>
        <w:pageBreakBefore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left"/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方正仿宋简体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乙方如在进场施工一个月后不能降低虫害密度至合同约定水平，甲方有权单方面通知乙方终止合同，</w:t>
      </w:r>
      <w:r>
        <w:rPr>
          <w:rFonts w:hint="eastAsia" w:eastAsia="方正仿宋简体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且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不</w:t>
      </w:r>
      <w:r>
        <w:rPr>
          <w:rFonts w:hint="eastAsia" w:eastAsia="方正仿宋简体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支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付</w:t>
      </w:r>
      <w:r>
        <w:rPr>
          <w:rFonts w:hint="eastAsia" w:eastAsia="方正仿宋简体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服务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费用。</w:t>
      </w:r>
    </w:p>
    <w:p w14:paraId="27BD0A6C">
      <w:pPr>
        <w:pStyle w:val="5"/>
        <w:pageBreakBefore w:val="0"/>
        <w:kinsoku/>
        <w:wordWrap w:val="0"/>
        <w:overflowPunct/>
        <w:topLinePunct/>
        <w:autoSpaceDE/>
        <w:autoSpaceDN/>
        <w:bidi w:val="0"/>
        <w:adjustRightInd/>
        <w:snapToGrid/>
        <w:spacing w:line="540" w:lineRule="exact"/>
        <w:ind w:firstLine="640" w:firstLineChars="200"/>
        <w:rPr>
          <w:rFonts w:hint="default" w:eastAsia="方正仿宋简体"/>
          <w:lang w:val="en-US" w:eastAsia="zh-CN"/>
        </w:rPr>
      </w:pPr>
      <w:r>
        <w:rPr>
          <w:rFonts w:hint="eastAsia" w:eastAsia="方正仿宋简体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、乙方履行合同时存在任何违约行为的，应向甲方偿付合同金额20%的违约金并赔偿由此带来的一切损失，包括且不限于甲方为实现债权产生的诉讼费、保全费、保全保险费、律师费、公证费、差旅费等全部费用。</w:t>
      </w:r>
    </w:p>
    <w:p w14:paraId="5A0561E6">
      <w:pPr>
        <w:bidi w:val="0"/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  <w:t>九、争议的解决</w:t>
      </w:r>
    </w:p>
    <w:p w14:paraId="449601D9">
      <w:pPr>
        <w:pageBreakBefore w:val="0"/>
        <w:kinsoku/>
        <w:wordWrap w:val="0"/>
        <w:overflowPunct/>
        <w:topLinePunct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本合同未尽事宜，双方友好协商解决，签订补充协议，如协商不成可向</w:t>
      </w:r>
      <w:r>
        <w:rPr>
          <w:rFonts w:hint="eastAsia" w:eastAsia="方正仿宋简体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甲方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所在地</w:t>
      </w:r>
      <w:r>
        <w:rPr>
          <w:rFonts w:hint="eastAsia" w:eastAsia="方正仿宋简体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人民法院提起诉讼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725A40CC">
      <w:pPr>
        <w:bidi w:val="0"/>
        <w:rPr>
          <w:rFonts w:hint="eastAsia" w:ascii="Times New Roman" w:hAnsi="Times New Roman" w:eastAsia="方正仿宋简体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eastAsia="方正黑体简体" w:cs="Times New Roman"/>
          <w:sz w:val="32"/>
          <w:szCs w:val="32"/>
          <w:lang w:val="en-US" w:eastAsia="zh-CN"/>
        </w:rPr>
        <w:t>十、</w:t>
      </w:r>
      <w:r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  <w:t>本合同一式肆份，甲方执叁份，乙方执壹份，代表签字或盖章后生效。</w:t>
      </w:r>
    </w:p>
    <w:p w14:paraId="16D9DB36">
      <w:pPr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rPr>
          <w:rFonts w:hint="eastAsia" w:ascii="Times New Roman" w:hAnsi="Times New Roman" w:eastAsia="方正仿宋简体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（以下无正文）</w:t>
      </w:r>
    </w:p>
    <w:p w14:paraId="694A3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 w14:paraId="25FED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甲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方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盖章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）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 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   乙    方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（盖章） 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法定代表人（授权代表）：        法定代表人（授权代表）：</w:t>
      </w:r>
    </w:p>
    <w:p w14:paraId="22ED2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地    址：                     地    址：</w:t>
      </w:r>
    </w:p>
    <w:p w14:paraId="3CE374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开户银行：                     开户银行：</w:t>
      </w:r>
    </w:p>
    <w:p w14:paraId="3E8C32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账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号：                     账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号：</w:t>
      </w:r>
    </w:p>
    <w:p w14:paraId="15BBE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电    话：                     电    话：</w:t>
      </w:r>
    </w:p>
    <w:p w14:paraId="404D42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left"/>
        <w:textAlignment w:val="auto"/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签约日期：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年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月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日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  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签约日期：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年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月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日</w:t>
      </w:r>
    </w:p>
    <w:p w14:paraId="45AC8521"/>
    <w:sectPr>
      <w:footerReference r:id="rId6" w:type="default"/>
      <w:pgSz w:w="11906" w:h="16838"/>
      <w:pgMar w:top="2098" w:right="1587" w:bottom="1587" w:left="1587" w:header="2098" w:footer="158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F9F8C4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9E83FC6">
                          <w:pPr>
                            <w:pStyle w:val="8"/>
                          </w:pPr>
                          <w:r>
                            <w:t>—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zZjXE5AgAAcQQAAA4AAABkcnMvZTJvRG9jLnhtbK1UzY7TMBC+I/EO&#10;lu80aRFLVT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PzZjXE5AgAAcQ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E83FC6">
                    <w:pPr>
                      <w:pStyle w:val="8"/>
                    </w:pPr>
                    <w:r>
                      <w:t>—</w:t>
                    </w:r>
                    <w:r>
                      <w:rPr>
                        <w:rFonts w:hint="eastAsia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lang w:val="en-US" w:eastAsia="zh-CN"/>
                      </w:rPr>
                      <w:t xml:space="preserve"> 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A77CBA">
    <w:pPr>
      <w:pStyle w:val="8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 w14:paraId="216EA77A"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0EE4D4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F649C9">
                          <w:pPr>
                            <w:pStyle w:val="8"/>
                            <w:wordWrap w:val="0"/>
                            <w:jc w:val="right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F649C9">
                    <w:pPr>
                      <w:pStyle w:val="8"/>
                      <w:wordWrap w:val="0"/>
                      <w:jc w:val="right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AD2B98">
    <w:pPr>
      <w:spacing w:line="360" w:lineRule="aut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4D1E43"/>
    <w:rsid w:val="0BB63D50"/>
    <w:rsid w:val="15E57946"/>
    <w:rsid w:val="163D2AB4"/>
    <w:rsid w:val="182B52BA"/>
    <w:rsid w:val="1C0E7F5E"/>
    <w:rsid w:val="1E676423"/>
    <w:rsid w:val="1EAB3CAC"/>
    <w:rsid w:val="22561186"/>
    <w:rsid w:val="22D12F02"/>
    <w:rsid w:val="27010B49"/>
    <w:rsid w:val="2AC31382"/>
    <w:rsid w:val="2FC811E9"/>
    <w:rsid w:val="30BF439A"/>
    <w:rsid w:val="326B5871"/>
    <w:rsid w:val="326F71AB"/>
    <w:rsid w:val="34942368"/>
    <w:rsid w:val="35470211"/>
    <w:rsid w:val="37F54B45"/>
    <w:rsid w:val="399C171C"/>
    <w:rsid w:val="3DBD7EB3"/>
    <w:rsid w:val="3E3068D7"/>
    <w:rsid w:val="43B9736F"/>
    <w:rsid w:val="4CAA1F4A"/>
    <w:rsid w:val="4D2F41FE"/>
    <w:rsid w:val="4DF35651"/>
    <w:rsid w:val="4E7520E4"/>
    <w:rsid w:val="4FD01E32"/>
    <w:rsid w:val="51450494"/>
    <w:rsid w:val="56D55E16"/>
    <w:rsid w:val="56FB3ACE"/>
    <w:rsid w:val="570606C5"/>
    <w:rsid w:val="5E0E058B"/>
    <w:rsid w:val="6404589F"/>
    <w:rsid w:val="641B3F43"/>
    <w:rsid w:val="66187ACD"/>
    <w:rsid w:val="6CC82266"/>
    <w:rsid w:val="6E4759B4"/>
    <w:rsid w:val="6FB42615"/>
    <w:rsid w:val="70730722"/>
    <w:rsid w:val="72C40DC1"/>
    <w:rsid w:val="758C5BB5"/>
    <w:rsid w:val="75BE243F"/>
    <w:rsid w:val="77381D7D"/>
    <w:rsid w:val="7EE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720" w:firstLineChars="200"/>
      <w:outlineLvl w:val="2"/>
    </w:pPr>
    <w:rPr>
      <w:rFonts w:ascii="Times New Roman" w:hAnsi="Times New Roman" w:eastAsia="楷体_GB2312"/>
      <w:b/>
      <w:sz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Body Text Indent 2"/>
    <w:basedOn w:val="1"/>
    <w:qFormat/>
    <w:uiPriority w:val="0"/>
    <w:pPr>
      <w:widowControl/>
      <w:spacing w:after="120" w:line="480" w:lineRule="auto"/>
      <w:ind w:left="420" w:leftChars="200"/>
      <w:jc w:val="left"/>
    </w:pPr>
    <w:rPr>
      <w:kern w:val="0"/>
      <w:sz w:val="20"/>
      <w:szCs w:val="20"/>
      <w:lang w:eastAsia="en-US"/>
    </w:rPr>
  </w:style>
  <w:style w:type="paragraph" w:styleId="8">
    <w:name w:val="footer"/>
    <w:basedOn w:val="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 2"/>
    <w:basedOn w:val="6"/>
    <w:next w:val="1"/>
    <w:qFormat/>
    <w:uiPriority w:val="0"/>
    <w:pPr>
      <w:ind w:firstLine="640" w:firstLineChars="200"/>
    </w:pPr>
  </w:style>
  <w:style w:type="character" w:styleId="13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2200</Words>
  <Characters>2301</Characters>
  <Lines>0</Lines>
  <Paragraphs>0</Paragraphs>
  <TotalTime>920</TotalTime>
  <ScaleCrop>false</ScaleCrop>
  <LinksUpToDate>false</LinksUpToDate>
  <CharactersWithSpaces>2342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2026-07-23T07:37:00Z</dcterms:created>
  <dc:creator>HP</dc:creator>
  <cp:lastModifiedBy>梁东城</cp:lastModifiedBy>
  <cp:lastPrinted>2026-07-28T07:12:00Z</cp:lastPrinted>
  <dcterms:modified xsi:type="dcterms:W3CDTF">2026-07-29T01:06:15Z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eyJoZGlkIjoiNDk4MGFiYzA3MGMzMTMwYmMzZjliNDE4ZTliZWU2NGUiLCJ1c2VySWQiOiIzNDUzODE4MTcifQ==</vt:lpwstr>
  </property>
  <property fmtid="{D5CDD505-2E9C-101B-9397-08002B2CF9AE}" pid="4" name="ICV">
    <vt:lpwstr>B7FF6CE495774C0BAE75C2F30A457C2C_12</vt:lpwstr>
  </property>
</Properties>
</file>