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E3CD8">
      <w:pPr>
        <w:adjustRightInd/>
        <w:spacing w:line="240" w:lineRule="auto"/>
        <w:jc w:val="both"/>
        <w:rPr>
          <w:rFonts w:ascii="Times New Roman" w:hAnsi="Times New Roman" w:eastAsia="华文中宋" w:cs="Times New Roman"/>
          <w:b/>
          <w:color w:val="000000" w:themeColor="text1"/>
          <w:sz w:val="52"/>
          <w:szCs w:val="52"/>
          <w:highlight w:val="none"/>
          <w14:textFill>
            <w14:solidFill>
              <w14:schemeClr w14:val="tx1"/>
            </w14:solidFill>
          </w14:textFill>
        </w:rPr>
      </w:pPr>
      <w:r>
        <w:rPr>
          <w:rFonts w:hint="default" w:ascii="Times New Roman" w:hAnsi="Times New Roman" w:eastAsia="方正仿宋_GB2312" w:cs="Times New Roman"/>
          <w:bCs/>
          <w:color w:val="000000" w:themeColor="text1"/>
          <w:sz w:val="30"/>
          <w:szCs w:val="30"/>
          <w:highlight w:val="none"/>
          <w14:textFill>
            <w14:solidFill>
              <w14:schemeClr w14:val="tx1"/>
            </w14:solidFill>
          </w14:textFill>
        </w:rPr>
        <w:t>GF—2015—0212</w:t>
      </w:r>
    </w:p>
    <w:p w14:paraId="0711925F">
      <w:pPr>
        <w:adjustRightInd w:val="0"/>
        <w:spacing w:line="360" w:lineRule="auto"/>
        <w:ind w:firstLine="601" w:firstLineChars="200"/>
        <w:jc w:val="right"/>
        <w:rPr>
          <w:rFonts w:ascii="Times New Roman" w:hAnsi="Times New Roman" w:eastAsia="华文中宋" w:cs="Times New Roman"/>
          <w:b/>
          <w:color w:val="000000" w:themeColor="text1"/>
          <w:sz w:val="30"/>
          <w:szCs w:val="30"/>
          <w:highlight w:val="none"/>
          <w14:textFill>
            <w14:solidFill>
              <w14:schemeClr w14:val="tx1"/>
            </w14:solidFill>
          </w14:textFill>
        </w:rPr>
      </w:pPr>
      <w:r>
        <w:rPr>
          <w:rFonts w:hint="default" w:ascii="Times New Roman" w:hAnsi="Times New Roman" w:eastAsia="华文中宋" w:cs="Times New Roman"/>
          <w:b/>
          <w:color w:val="000000" w:themeColor="text1"/>
          <w:sz w:val="30"/>
          <w:szCs w:val="30"/>
          <w:highlight w:val="none"/>
          <w14:textFill>
            <w14:solidFill>
              <w14:schemeClr w14:val="tx1"/>
            </w14:solidFill>
          </w14:textFill>
        </w:rPr>
        <w:t>合同编号：_________</w:t>
      </w:r>
    </w:p>
    <w:p w14:paraId="2C777E7B">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textWrapping"/>
      </w:r>
      <w:r>
        <w:rPr>
          <w:rFonts w:ascii="Times New Roman" w:hAnsi="Times New Roman" w:cs="Times New Roman"/>
          <w:color w:val="000000" w:themeColor="text1"/>
          <w:highlight w:val="none"/>
          <w14:textFill>
            <w14:solidFill>
              <w14:schemeClr w14:val="tx1"/>
            </w14:solidFill>
          </w14:textFill>
        </w:rPr>
        <w:br w:type="textWrapping"/>
      </w:r>
    </w:p>
    <w:p w14:paraId="54179A21">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557FD87B">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0A87247A">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21FC5536">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31F90DF9">
      <w:pPr>
        <w:adjustRightInd w:val="0"/>
        <w:spacing w:line="360" w:lineRule="auto"/>
        <w:jc w:val="center"/>
        <w:outlineLvl w:val="0"/>
        <w:rPr>
          <w:rFonts w:ascii="Times New Roman" w:hAnsi="Times New Roman" w:cs="Times New Roman"/>
          <w:color w:val="000000" w:themeColor="text1"/>
          <w:highlight w:val="none"/>
          <w14:textFill>
            <w14:solidFill>
              <w14:schemeClr w14:val="tx1"/>
            </w14:solidFill>
          </w14:textFill>
        </w:rPr>
      </w:pPr>
      <w:bookmarkStart w:id="0" w:name="_Toc706688389"/>
      <w:r>
        <w:rPr>
          <w:rFonts w:ascii="Times New Roman" w:hAnsi="Times New Roman" w:eastAsia="华文中宋" w:cs="Times New Roman"/>
          <w:b/>
          <w:color w:val="000000" w:themeColor="text1"/>
          <w:sz w:val="72"/>
          <w:szCs w:val="72"/>
          <w:highlight w:val="none"/>
          <w14:textFill>
            <w14:solidFill>
              <w14:schemeClr w14:val="tx1"/>
            </w14:solidFill>
          </w14:textFill>
        </w:rPr>
        <w:t>建设工程造价咨询合同</w:t>
      </w:r>
      <w:r>
        <w:rPr>
          <w:rFonts w:ascii="Times New Roman" w:hAnsi="Times New Roman" w:eastAsia="华文中宋" w:cs="Times New Roman"/>
          <w:color w:val="000000" w:themeColor="text1"/>
          <w:highlight w:val="none"/>
          <w14:textFill>
            <w14:solidFill>
              <w14:schemeClr w14:val="tx1"/>
            </w14:solidFill>
          </w14:textFill>
        </w:rPr>
        <w:br w:type="textWrapping"/>
      </w:r>
      <w:r>
        <w:rPr>
          <w:rFonts w:ascii="Times New Roman" w:hAnsi="Times New Roman" w:cs="Times New Roman"/>
          <w:b/>
          <w:color w:val="000000" w:themeColor="text1"/>
          <w:sz w:val="52"/>
          <w:szCs w:val="52"/>
          <w:highlight w:val="none"/>
          <w14:textFill>
            <w14:solidFill>
              <w14:schemeClr w14:val="tx1"/>
            </w14:solidFill>
          </w14:textFill>
        </w:rPr>
        <w:br w:type="textWrapping"/>
      </w:r>
      <w:bookmarkEnd w:id="0"/>
    </w:p>
    <w:p w14:paraId="5A5FB89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02C2BBC0">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139E9E93">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41F4C741">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4CE9A1C2">
      <w:pPr>
        <w:pStyle w:val="20"/>
        <w:adjustRightInd w:val="0"/>
        <w:jc w:val="center"/>
        <w:rPr>
          <w:rFonts w:ascii="Times New Roman" w:hAnsi="Times New Roman" w:cs="Times New Roman"/>
          <w:color w:val="000000" w:themeColor="text1"/>
          <w:highlight w:val="none"/>
          <w14:textFill>
            <w14:solidFill>
              <w14:schemeClr w14:val="tx1"/>
            </w14:solidFill>
          </w14:textFill>
        </w:rPr>
      </w:pPr>
    </w:p>
    <w:p w14:paraId="545A38F5">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4B23AF0A">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FPDdYAAAAKAQAADwAAAAAAAAABACAAAAAiAAAAZHJzL2Rv&#10;d25yZXYueG1sUEsBAhQAFAAAAAgAh07iQBcvZekDAgAAVwQAAA4AAAAAAAAAAQAgAAAAJQEAAGRy&#10;cy9lMm9Eb2MueG1sUEsFBgAAAAAGAAYAWQEAAJoFAAAAAA==&#10;">
                <v:fill on="t" focussize="0,0"/>
                <v:stroke weight="0pt" color="#FFFFFF" joinstyle="miter"/>
                <v:imagedata o:title=""/>
                <o:lock v:ext="edit" aspectratio="f"/>
                <v:textbox style="mso-fit-shape-to-text:t;">
                  <w:txbxContent>
                    <w:p w14:paraId="4B23AF0A">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000000" w:themeColor="text1"/>
          <w:sz w:val="32"/>
          <w:szCs w:val="32"/>
          <w:highlight w:val="none"/>
          <w14:textFill>
            <w14:solidFill>
              <w14:schemeClr w14:val="tx1"/>
            </w14:solidFill>
          </w14:textFill>
        </w:rPr>
        <w:t>住 房 和 城 乡 建 设 部</w:t>
      </w:r>
    </w:p>
    <w:p w14:paraId="20752690">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 xml:space="preserve">                                     制定</w:t>
      </w:r>
    </w:p>
    <w:p w14:paraId="47379B1E">
      <w:pPr>
        <w:pStyle w:val="20"/>
        <w:adjustRightInd w:val="0"/>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1" w:name="_Toc1727186013"/>
      <w:r>
        <w:rPr>
          <w:rFonts w:hint="default" w:ascii="Times New Roman" w:hAnsi="Times New Roman" w:cs="Times New Roman"/>
          <w:color w:val="000000" w:themeColor="text1"/>
          <w:sz w:val="32"/>
          <w:szCs w:val="32"/>
          <w:highlight w:val="none"/>
          <w14:textFill>
            <w14:solidFill>
              <w14:schemeClr w14:val="tx1"/>
            </w14:solidFill>
          </w14:textFill>
        </w:rPr>
        <w:t>国家工商行政管理总局</w:t>
      </w:r>
      <w:bookmarkEnd w:id="1"/>
    </w:p>
    <w:p w14:paraId="330F848E">
      <w:pPr>
        <w:adjustRightIn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sectPr>
          <w:headerReference r:id="rId3" w:type="default"/>
          <w:pgSz w:w="11906" w:h="16838"/>
          <w:pgMar w:top="1418" w:right="1555" w:bottom="1418" w:left="1531" w:header="851" w:footer="992" w:gutter="0"/>
          <w:pgNumType w:start="1"/>
          <w:cols w:space="720" w:num="1"/>
          <w:titlePg/>
          <w:docGrid w:type="lines" w:linePitch="312" w:charSpace="0"/>
        </w:sectPr>
      </w:pPr>
    </w:p>
    <w:p w14:paraId="73B8D7E5">
      <w:pPr>
        <w:pStyle w:val="22"/>
        <w:tabs>
          <w:tab w:val="left" w:pos="3360"/>
          <w:tab w:val="center" w:pos="4153"/>
        </w:tabs>
        <w:adjustRightInd w:val="0"/>
        <w:spacing w:line="360" w:lineRule="auto"/>
        <w:jc w:val="center"/>
        <w:rPr>
          <w:rFonts w:ascii="Times New Roman" w:hAnsi="Times New Roman" w:cs="Times New Roman"/>
          <w:color w:val="000000" w:themeColor="text1"/>
          <w:sz w:val="28"/>
          <w:szCs w:val="28"/>
          <w:highlight w:val="none"/>
          <w14:textFill>
            <w14:solidFill>
              <w14:schemeClr w14:val="tx1"/>
            </w14:solidFill>
          </w14:textFill>
        </w:rPr>
      </w:pPr>
      <w:bookmarkStart w:id="2" w:name="_Toc32186"/>
      <w:r>
        <w:rPr>
          <w:rFonts w:ascii="Times New Roman" w:hAnsi="Times New Roman" w:cs="Times New Roman"/>
          <w:color w:val="000000" w:themeColor="text1"/>
          <w:sz w:val="28"/>
          <w:szCs w:val="28"/>
          <w:highlight w:val="none"/>
          <w14:textFill>
            <w14:solidFill>
              <w14:schemeClr w14:val="tx1"/>
            </w14:solidFill>
          </w14:textFill>
        </w:rPr>
        <w:t>目</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录</w:t>
      </w:r>
      <w:bookmarkEnd w:id="2"/>
    </w:p>
    <w:p w14:paraId="1FE2C5BE">
      <w:pPr>
        <w:rPr>
          <w:rFonts w:hint="default"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fldChar w:fldCharType="begin"/>
      </w:r>
      <w:r>
        <w:rPr>
          <w:rFonts w:ascii="Times New Roman" w:hAnsi="Times New Roman" w:cs="Times New Roman"/>
          <w:color w:val="000000" w:themeColor="text1"/>
          <w:sz w:val="24"/>
          <w:highlight w:val="none"/>
          <w14:textFill>
            <w14:solidFill>
              <w14:schemeClr w14:val="tx1"/>
            </w14:solidFill>
          </w14:textFill>
        </w:rPr>
        <w:instrText xml:space="preserve">TOC \o "1-1" \h \u </w:instrText>
      </w:r>
      <w:r>
        <w:rPr>
          <w:rFonts w:ascii="Times New Roman" w:hAnsi="Times New Roman" w:cs="Times New Roman"/>
          <w:color w:val="000000" w:themeColor="text1"/>
          <w:sz w:val="24"/>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p>
    <w:sdt>
      <w:sdtPr>
        <w:rPr>
          <w:rFonts w:ascii="宋体" w:hAnsi="宋体" w:eastAsia="宋体" w:cs="宋体"/>
          <w:kern w:val="0"/>
          <w:sz w:val="21"/>
          <w:szCs w:val="24"/>
          <w:lang w:val="en-US" w:eastAsia="zh-CN" w:bidi="ar-SA"/>
        </w:rPr>
        <w:id w:val="147454100"/>
        <w15:color w:val="DBDBDB"/>
        <w:docPartObj>
          <w:docPartGallery w:val="Table of Contents"/>
          <w:docPartUnique/>
        </w:docPartObj>
      </w:sdtPr>
      <w:sdtEndPr>
        <w:rPr>
          <w:rFonts w:ascii="宋体" w:hAnsi="宋体" w:eastAsia="宋体" w:cs="宋体"/>
          <w:kern w:val="0"/>
          <w:sz w:val="21"/>
          <w:szCs w:val="24"/>
          <w:lang w:val="en-US" w:eastAsia="zh-CN" w:bidi="ar-SA"/>
        </w:rPr>
      </w:sdtEndPr>
      <w:sdtContent>
        <w:p w14:paraId="07FFE4BB">
          <w:pPr>
            <w:spacing w:before="0" w:beforeLines="0" w:after="0" w:afterLines="0" w:line="240" w:lineRule="auto"/>
            <w:ind w:left="0" w:leftChars="0" w:right="0" w:rightChars="0" w:firstLine="0" w:firstLineChars="0"/>
            <w:jc w:val="center"/>
          </w:pPr>
        </w:p>
        <w:p w14:paraId="47B1E6F2">
          <w:pPr>
            <w:pStyle w:val="8"/>
            <w:tabs>
              <w:tab w:val="right" w:leader="dot" w:pos="8300"/>
            </w:tabs>
            <w:rPr>
              <w:rFonts w:hint="eastAsia" w:asciiTheme="minorEastAsia" w:hAnsiTheme="minorEastAsia" w:eastAsiaTheme="minorEastAsia" w:cstheme="minorEastAsia"/>
              <w:sz w:val="24"/>
            </w:rPr>
          </w:pPr>
          <w:r>
            <w:fldChar w:fldCharType="begin"/>
          </w:r>
          <w:r>
            <w:instrText xml:space="preserve">TOC \o "1-3" \h \u </w:instrText>
          </w:r>
          <w:r>
            <w:fldChar w:fldCharType="separate"/>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_Toc2473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第一部分　协议书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_Toc2473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63E33C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_Toc4264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一、工程概况</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_Toc4264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DFE8416">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_Toc5543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二、服务范围及工作内容</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_Toc5543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3C9603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_Toc23784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三、服务期限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_Toc23784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80E481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_Toc22489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四、质量标准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_Toc22489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241CF49">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_Toc14997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五、酬金或计取方式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_Toc14997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C1AF2F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六、合同文件的构成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_Toc1702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C732791">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_Toc14553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bCs/>
              <w:sz w:val="24"/>
              <w:szCs w:val="24"/>
              <w:highlight w:val="none"/>
            </w:rPr>
            <w:t>七、词语定义</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_Toc14553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0D8954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_Toc17788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八、合同订立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_Toc17788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0ECAD1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_Toc17041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九、合同生效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_Toc17041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E50072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_Toc31816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十、合同份数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_Toc31816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CFE6C8F">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_Toc11887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第二部分　通用条件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_Toc11887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A78BDEB">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_Toc25478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_Toc25478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C1B5FA5">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_Toc25929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_Toc25929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D85EEEE">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_Toc12760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_Toc12760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CC99D6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_Toc30680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_Toc30680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ED51F8D">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_Toc32579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_Toc32579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74319E8">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_Toc1903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_Toc1903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855BF72">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_Toc21391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_Toc21391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027A563">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_Toc16759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第三部分　专用条件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_Toc16759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B9B308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_Toc16468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_Toc16468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EFA7488">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_Toc27567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_Toc27567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7FE01A3">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_Toc11448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_Toc11448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4EB4C26">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_Toc12159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_Toc12159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B1BF6C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_Toc26613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_Toc26613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56EE1C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4E55EB1">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338909F">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_Toc25025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8.其他</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_Toc25025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B4C3562">
          <w:pPr>
            <w:pStyle w:val="8"/>
            <w:tabs>
              <w:tab w:val="right" w:leader="dot" w:pos="8300"/>
            </w:tabs>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_Toc5505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9.补充条款</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_Toc5505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07FCF1F">
          <w:r>
            <w:fldChar w:fldCharType="end"/>
          </w:r>
        </w:p>
      </w:sdtContent>
    </w:sdt>
    <w:p w14:paraId="024A76AD">
      <w:pPr>
        <w:pStyle w:val="3"/>
        <w:adjustRightInd w:val="0"/>
        <w:spacing w:before="120" w:after="120" w:line="360" w:lineRule="auto"/>
        <w:jc w:val="both"/>
        <w:outlineLvl w:val="9"/>
        <w:rPr>
          <w:rFonts w:hint="default" w:ascii="Times New Roman" w:hAnsi="Times New Roman" w:cs="Times New Roman"/>
          <w:color w:val="000000" w:themeColor="text1"/>
          <w:sz w:val="30"/>
          <w:szCs w:val="30"/>
          <w:highlight w:val="none"/>
          <w14:textFill>
            <w14:solidFill>
              <w14:schemeClr w14:val="tx1"/>
            </w14:solidFill>
          </w14:textFill>
        </w:rPr>
      </w:pPr>
      <w:bookmarkStart w:id="3" w:name="_Toc31185"/>
      <w:bookmarkStart w:id="4" w:name="_Toc14193"/>
    </w:p>
    <w:p w14:paraId="7CAC2253">
      <w:pPr>
        <w:rPr>
          <w:rFonts w:hint="default" w:ascii="Times New Roman" w:hAnsi="Times New Roman" w:cs="Times New Roman"/>
          <w:color w:val="000000" w:themeColor="text1"/>
          <w:highlight w:val="none"/>
          <w14:textFill>
            <w14:solidFill>
              <w14:schemeClr w14:val="tx1"/>
            </w14:solidFill>
          </w14:textFill>
        </w:rPr>
      </w:pPr>
    </w:p>
    <w:p w14:paraId="1BB3035E">
      <w:pPr>
        <w:pStyle w:val="3"/>
        <w:adjustRightInd w:val="0"/>
        <w:spacing w:before="120" w:after="120" w:line="360" w:lineRule="auto"/>
        <w:jc w:val="both"/>
        <w:outlineLvl w:val="9"/>
        <w:rPr>
          <w:rFonts w:hint="default" w:ascii="Times New Roman" w:hAnsi="Times New Roman" w:cs="Times New Roman"/>
          <w:color w:val="000000" w:themeColor="text1"/>
          <w:sz w:val="30"/>
          <w:szCs w:val="30"/>
          <w:highlight w:val="none"/>
          <w14:textFill>
            <w14:solidFill>
              <w14:schemeClr w14:val="tx1"/>
            </w14:solidFill>
          </w14:textFill>
        </w:rPr>
        <w:sectPr>
          <w:footerReference r:id="rId4" w:type="default"/>
          <w:pgSz w:w="11906" w:h="16838"/>
          <w:pgMar w:top="1440" w:right="1803" w:bottom="1440" w:left="1803" w:header="851" w:footer="992" w:gutter="0"/>
          <w:pgNumType w:fmt="decimal" w:start="1"/>
          <w:cols w:space="720" w:num="1"/>
          <w:docGrid w:linePitch="326" w:charSpace="0"/>
        </w:sectPr>
      </w:pPr>
    </w:p>
    <w:p w14:paraId="46FE1D3C">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5" w:name="_Toc15938"/>
      <w:bookmarkStart w:id="6" w:name="_Toc21230"/>
      <w:bookmarkStart w:id="7" w:name="_Toc22367"/>
      <w:bookmarkStart w:id="8" w:name="_Toc12186"/>
      <w:bookmarkStart w:id="9" w:name="_Toc20593"/>
      <w:bookmarkStart w:id="10" w:name="_Toc1278863992"/>
      <w:bookmarkStart w:id="11" w:name="_Toc16978"/>
      <w:bookmarkStart w:id="12" w:name="_Toc2473"/>
      <w:bookmarkStart w:id="13" w:name="_Toc6375"/>
      <w:bookmarkStart w:id="14" w:name="_Toc7456"/>
      <w:r>
        <w:rPr>
          <w:rFonts w:hint="default" w:ascii="Times New Roman" w:hAnsi="Times New Roman" w:cs="Times New Roman"/>
          <w:color w:val="000000" w:themeColor="text1"/>
          <w:sz w:val="30"/>
          <w:szCs w:val="30"/>
          <w:highlight w:val="none"/>
          <w14:textFill>
            <w14:solidFill>
              <w14:schemeClr w14:val="tx1"/>
            </w14:solidFill>
          </w14:textFill>
        </w:rPr>
        <w:t>第一部分　协议书</w:t>
      </w:r>
      <w:bookmarkEnd w:id="3"/>
      <w:bookmarkEnd w:id="4"/>
      <w:bookmarkEnd w:id="5"/>
      <w:bookmarkEnd w:id="6"/>
      <w:bookmarkEnd w:id="7"/>
      <w:bookmarkEnd w:id="8"/>
      <w:bookmarkEnd w:id="9"/>
      <w:bookmarkEnd w:id="10"/>
      <w:bookmarkEnd w:id="11"/>
      <w:bookmarkEnd w:id="12"/>
      <w:bookmarkEnd w:id="13"/>
      <w:bookmarkEnd w:id="14"/>
    </w:p>
    <w:p w14:paraId="5B9A6EC8">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u w:val="single"/>
          <w14:textFill>
            <w14:solidFill>
              <w14:schemeClr w14:val="tx1"/>
            </w14:solidFill>
          </w14:textFill>
        </w:rPr>
      </w:pPr>
      <w:bookmarkStart w:id="15" w:name="7"/>
      <w:r>
        <w:rPr>
          <w:rFonts w:hint="default" w:ascii="Times New Roman" w:hAnsi="Times New Roman" w:cs="Times New Roman"/>
          <w:color w:val="000000" w:themeColor="text1"/>
          <w:sz w:val="24"/>
          <w:szCs w:val="24"/>
          <w:highlight w:val="none"/>
          <w14:textFill>
            <w14:solidFill>
              <w14:schemeClr w14:val="tx1"/>
            </w14:solidFill>
          </w14:textFill>
        </w:rPr>
        <w:t>委托人（全称）：</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p>
    <w:p w14:paraId="6C6E55C9">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咨询人（全称）：</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14:paraId="635BBE7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HYPERLINK "javascript:SLC(21651,0)" </w:instrText>
      </w:r>
      <w:r>
        <w:rPr>
          <w:rFonts w:ascii="Times New Roman" w:hAnsi="Times New Roman" w:cs="Times New Roman"/>
          <w:color w:val="000000" w:themeColor="text1"/>
          <w:highlight w:val="none"/>
          <w14:textFill>
            <w14:solidFill>
              <w14:schemeClr w14:val="tx1"/>
            </w14:solidFill>
          </w14:textFill>
        </w:rPr>
        <w:fldChar w:fldCharType="separate"/>
      </w:r>
      <w:r>
        <w:rPr>
          <w:rStyle w:val="17"/>
          <w:rFonts w:hint="default" w:ascii="Times New Roman" w:hAnsi="Times New Roman" w:cs="Times New Roman"/>
          <w:color w:val="000000" w:themeColor="text1"/>
          <w:sz w:val="24"/>
          <w:szCs w:val="24"/>
          <w:highlight w:val="none"/>
          <w14:textFill>
            <w14:solidFill>
              <w14:schemeClr w14:val="tx1"/>
            </w14:solidFill>
          </w14:textFill>
        </w:rPr>
        <w:t>中华人民共和国民法典</w:t>
      </w:r>
      <w:r>
        <w:rPr>
          <w:rStyle w:val="17"/>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14:textFill>
            <w14:solidFill>
              <w14:schemeClr w14:val="tx1"/>
            </w14:solidFill>
          </w14:textFill>
        </w:rPr>
        <w:t>》及其他有关</w:t>
      </w:r>
      <w:r>
        <w:rPr>
          <w:rFonts w:hint="eastAsia" w:cs="Times New Roman"/>
          <w:color w:val="000000" w:themeColor="text1"/>
          <w:sz w:val="24"/>
          <w:szCs w:val="24"/>
          <w:highlight w:val="none"/>
          <w:lang w:eastAsia="zh-CN"/>
          <w14:textFill>
            <w14:solidFill>
              <w14:schemeClr w14:val="tx1"/>
            </w14:solidFill>
          </w14:textFill>
        </w:rPr>
        <w:t>法律法规</w:t>
      </w:r>
      <w:r>
        <w:rPr>
          <w:rFonts w:hint="default" w:ascii="Times New Roman" w:hAnsi="Times New Roman" w:cs="Times New Roman"/>
          <w:color w:val="000000" w:themeColor="text1"/>
          <w:sz w:val="24"/>
          <w:szCs w:val="24"/>
          <w:highlight w:val="none"/>
          <w14:textFill>
            <w14:solidFill>
              <w14:schemeClr w14:val="tx1"/>
            </w14:solidFill>
          </w14:textFill>
        </w:rPr>
        <w:t>，遵循平等、自愿、公平和诚实信用的原则，双方就下述建设工程委托造价咨询与其他服务事项协商一致，订立本合同。</w:t>
      </w:r>
    </w:p>
    <w:p w14:paraId="6EE4C9A7">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6" w:name="_Toc7826"/>
      <w:bookmarkStart w:id="17" w:name="_Toc5313"/>
      <w:bookmarkStart w:id="18" w:name="_Toc13717"/>
      <w:bookmarkStart w:id="19" w:name="_Toc4264"/>
      <w:bookmarkStart w:id="20" w:name="_Toc23310"/>
      <w:bookmarkStart w:id="21" w:name="_Toc30907"/>
      <w:bookmarkStart w:id="22" w:name="_Toc94"/>
      <w:bookmarkStart w:id="23" w:name="_Toc31926"/>
      <w:bookmarkStart w:id="24" w:name="_Toc30954"/>
      <w:bookmarkStart w:id="25" w:name="_Toc26965"/>
      <w:bookmarkStart w:id="26" w:name="_Toc1850774368"/>
      <w:bookmarkStart w:id="27" w:name="_Toc27350"/>
      <w:bookmarkStart w:id="28" w:name="_Toc38"/>
      <w:bookmarkStart w:id="29" w:name="_Toc18156"/>
      <w:bookmarkStart w:id="30" w:name="_Toc18834"/>
      <w:bookmarkStart w:id="31" w:name="_Toc419045056"/>
      <w:r>
        <w:rPr>
          <w:rFonts w:hint="default" w:ascii="Times New Roman" w:hAnsi="Times New Roman" w:cs="Times New Roman"/>
          <w:color w:val="000000" w:themeColor="text1"/>
          <w:szCs w:val="24"/>
          <w:highlight w:val="none"/>
          <w14:textFill>
            <w14:solidFill>
              <w14:schemeClr w14:val="tx1"/>
            </w14:solidFill>
          </w14:textFill>
        </w:rPr>
        <w:t>一、工程概况</w:t>
      </w:r>
      <w:bookmarkEnd w:id="16"/>
      <w:bookmarkEnd w:id="17"/>
      <w:bookmarkEnd w:id="18"/>
      <w:bookmarkEnd w:id="19"/>
      <w:bookmarkEnd w:id="20"/>
      <w:bookmarkEnd w:id="21"/>
      <w:bookmarkEnd w:id="22"/>
      <w:bookmarkEnd w:id="23"/>
      <w:bookmarkEnd w:id="24"/>
      <w:bookmarkEnd w:id="25"/>
      <w:bookmarkEnd w:id="26"/>
      <w:bookmarkEnd w:id="27"/>
      <w:bookmarkEnd w:id="28"/>
    </w:p>
    <w:bookmarkEnd w:id="29"/>
    <w:bookmarkEnd w:id="30"/>
    <w:p w14:paraId="541396B4">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1.工程名称：</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5ABE7AE4">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2.工程地点：</w:t>
      </w:r>
      <w:bookmarkEnd w:id="31"/>
      <w:r>
        <w:rPr>
          <w:rFonts w:hint="default" w:ascii="Times New Roman" w:hAnsi="Times New Roman" w:cs="Times New Roman"/>
          <w:color w:val="000000" w:themeColor="text1"/>
          <w:highlight w:val="none"/>
          <w:u w:val="single"/>
          <w14:textFill>
            <w14:solidFill>
              <w14:schemeClr w14:val="tx1"/>
            </w14:solidFill>
          </w14:textFill>
        </w:rPr>
        <w:t xml:space="preserve">  广汉市  </w:t>
      </w:r>
      <w:r>
        <w:rPr>
          <w:rFonts w:hint="default" w:ascii="Times New Roman" w:hAnsi="Times New Roman" w:cs="Times New Roman"/>
          <w:color w:val="000000" w:themeColor="text1"/>
          <w:highlight w:val="none"/>
          <w14:textFill>
            <w14:solidFill>
              <w14:schemeClr w14:val="tx1"/>
            </w14:solidFill>
          </w14:textFill>
        </w:rPr>
        <w:t>。</w:t>
      </w:r>
    </w:p>
    <w:p w14:paraId="1B11CEF8">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3.建设工期或周期：</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A85A314">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4.其他：</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u w:val="singl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t>。</w:t>
      </w:r>
      <w:bookmarkEnd w:id="15"/>
    </w:p>
    <w:p w14:paraId="140C8537">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32" w:name="_Toc409"/>
      <w:bookmarkStart w:id="33" w:name="_Toc26568"/>
      <w:bookmarkStart w:id="34" w:name="_Toc6235"/>
      <w:bookmarkStart w:id="35" w:name="_Toc1811659828"/>
      <w:bookmarkStart w:id="36" w:name="_Toc11378"/>
      <w:bookmarkStart w:id="37" w:name="_Toc29874"/>
      <w:bookmarkStart w:id="38" w:name="_Toc419045059"/>
      <w:bookmarkStart w:id="39" w:name="_Toc12781"/>
      <w:bookmarkStart w:id="40" w:name="_Toc5543"/>
      <w:bookmarkStart w:id="41" w:name="_Toc21405"/>
      <w:bookmarkStart w:id="42" w:name="_Toc32556"/>
      <w:bookmarkStart w:id="43" w:name="_Toc20115"/>
      <w:bookmarkStart w:id="44" w:name="_Toc25419"/>
      <w:bookmarkStart w:id="45" w:name="_Toc28183"/>
      <w:bookmarkStart w:id="46" w:name="_Toc32683"/>
      <w:bookmarkStart w:id="47" w:name="_Toc13286"/>
      <w:r>
        <w:rPr>
          <w:rFonts w:hint="default" w:ascii="Times New Roman" w:hAnsi="Times New Roman" w:cs="Times New Roman"/>
          <w:color w:val="000000" w:themeColor="text1"/>
          <w:szCs w:val="24"/>
          <w:highlight w:val="none"/>
          <w14:textFill>
            <w14:solidFill>
              <w14:schemeClr w14:val="tx1"/>
            </w14:solidFill>
          </w14:textFill>
        </w:rPr>
        <w:t>二、服务范围及工作内容</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F8BC53D">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双方约定的服务范围及工作内容：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single"/>
          <w14:textFill>
            <w14:solidFill>
              <w14:schemeClr w14:val="tx1"/>
            </w14:solidFill>
          </w14:textFill>
        </w:rPr>
        <w:t>竣工结算审核</w:t>
      </w:r>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w:t>
      </w:r>
      <w:r>
        <w:rPr>
          <w:rFonts w:hint="eastAsia" w:cs="Times New Roman"/>
          <w:b/>
          <w:bCs/>
          <w:color w:val="000000" w:themeColor="text1"/>
          <w:sz w:val="24"/>
          <w:szCs w:val="24"/>
          <w:highlight w:val="none"/>
          <w:u w:val="single"/>
          <w:lang w:val="en-US" w:eastAsia="zh-CN"/>
          <w14:textFill>
            <w14:solidFill>
              <w14:schemeClr w14:val="tx1"/>
            </w14:solidFill>
          </w14:textFill>
        </w:rPr>
        <w:t>复</w:t>
      </w:r>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审）</w:t>
      </w:r>
      <w:r>
        <w:rPr>
          <w:rFonts w:hint="default" w:ascii="Times New Roman" w:hAnsi="Times New Roman" w:cs="Times New Roman"/>
          <w:color w:val="000000" w:themeColor="text1"/>
          <w:sz w:val="24"/>
          <w:szCs w:val="24"/>
          <w:highlight w:val="none"/>
          <w14:textFill>
            <w14:solidFill>
              <w14:schemeClr w14:val="tx1"/>
            </w14:solidFill>
          </w14:textFill>
        </w:rPr>
        <w:t>。</w:t>
      </w:r>
      <w:bookmarkStart w:id="48" w:name="_Toc419045060"/>
      <w:bookmarkStart w:id="49" w:name="9"/>
    </w:p>
    <w:p w14:paraId="3C770F75">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50" w:name="_Toc26896"/>
      <w:bookmarkStart w:id="51" w:name="_Toc1543582030"/>
      <w:bookmarkStart w:id="52" w:name="_Toc19936"/>
      <w:bookmarkStart w:id="53" w:name="_Toc17343"/>
      <w:bookmarkStart w:id="54" w:name="_Toc17672"/>
      <w:bookmarkStart w:id="55" w:name="_Toc11850"/>
      <w:bookmarkStart w:id="56" w:name="_Toc19248"/>
      <w:bookmarkStart w:id="57" w:name="_Toc13629"/>
      <w:bookmarkStart w:id="58" w:name="_Toc23562"/>
      <w:bookmarkStart w:id="59" w:name="_Toc25727"/>
      <w:bookmarkStart w:id="60" w:name="_Toc23784"/>
      <w:bookmarkStart w:id="61" w:name="_Toc4454"/>
      <w:bookmarkStart w:id="62" w:name="_Toc26882"/>
      <w:bookmarkStart w:id="63" w:name="_Toc6437"/>
      <w:bookmarkStart w:id="64" w:name="_Toc8051"/>
      <w:r>
        <w:rPr>
          <w:rFonts w:hint="default" w:ascii="Times New Roman" w:hAnsi="Times New Roman" w:cs="Times New Roman"/>
          <w:color w:val="000000" w:themeColor="text1"/>
          <w:szCs w:val="24"/>
          <w:highlight w:val="none"/>
          <w14:textFill>
            <w14:solidFill>
              <w14:schemeClr w14:val="tx1"/>
            </w14:solidFill>
          </w14:textFill>
        </w:rPr>
        <w:t>三、服务期限</w:t>
      </w:r>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Start w:id="478" w:name="_GoBack"/>
      <w:bookmarkEnd w:id="478"/>
    </w:p>
    <w:p w14:paraId="0C58F7A9">
      <w:pPr>
        <w:pStyle w:val="23"/>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本合同约定的建设工程造价咨询服务自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合同签订之日  </w:t>
      </w:r>
      <w:r>
        <w:rPr>
          <w:rFonts w:hint="default" w:ascii="Times New Roman" w:hAnsi="Times New Roman" w:cs="Times New Roman"/>
          <w:color w:val="000000" w:themeColor="text1"/>
          <w:sz w:val="24"/>
          <w:szCs w:val="24"/>
          <w:highlight w:val="none"/>
          <w14:textFill>
            <w14:solidFill>
              <w14:schemeClr w14:val="tx1"/>
            </w14:solidFill>
          </w14:textFill>
        </w:rPr>
        <w:t>开始实施，至</w:t>
      </w:r>
      <w:r>
        <w:rPr>
          <w:rFonts w:hint="eastAsia" w:cs="Times New Roman"/>
          <w:b w:val="0"/>
          <w:color w:val="000000" w:themeColor="text1"/>
          <w:kern w:val="0"/>
          <w:sz w:val="24"/>
          <w:szCs w:val="24"/>
          <w:highlight w:val="none"/>
          <w:u w:val="single"/>
          <w:lang w:eastAsia="zh-CN"/>
          <w14:textFill>
            <w14:solidFill>
              <w14:schemeClr w14:val="tx1"/>
            </w14:solidFill>
          </w14:textFill>
        </w:rPr>
        <w:t>出具</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竣工结算</w:t>
      </w:r>
      <w:r>
        <w:rPr>
          <w:rFonts w:hint="eastAsia" w:cs="Times New Roman"/>
          <w:b w:val="0"/>
          <w:color w:val="000000" w:themeColor="text1"/>
          <w:kern w:val="0"/>
          <w:sz w:val="24"/>
          <w:szCs w:val="24"/>
          <w:highlight w:val="none"/>
          <w:u w:val="single"/>
          <w:lang w:eastAsia="zh-CN"/>
          <w14:textFill>
            <w14:solidFill>
              <w14:schemeClr w14:val="tx1"/>
            </w14:solidFill>
          </w14:textFill>
        </w:rPr>
        <w:t>（复审）</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审核报告后终结</w:t>
      </w:r>
      <w:r>
        <w:rPr>
          <w:rFonts w:hint="default" w:ascii="Times New Roman" w:hAnsi="Times New Roman" w:cs="Times New Roman"/>
          <w:strike w:val="0"/>
          <w:color w:val="000000" w:themeColor="text1"/>
          <w:sz w:val="24"/>
          <w:szCs w:val="24"/>
          <w:highlight w:val="none"/>
          <w:u w:val="single"/>
          <w14:textFill>
            <w14:solidFill>
              <w14:schemeClr w14:val="tx1"/>
            </w14:solidFill>
          </w14:textFill>
        </w:rPr>
        <w:t>。</w:t>
      </w:r>
      <w:bookmarkEnd w:id="49"/>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咨询人</w:t>
      </w:r>
      <w:r>
        <w:rPr>
          <w:rFonts w:hint="default" w:ascii="Times New Roman" w:hAnsi="Times New Roman" w:cs="Times New Roman"/>
          <w:strike w:val="0"/>
          <w:color w:val="000000" w:themeColor="text1"/>
          <w:sz w:val="24"/>
          <w:szCs w:val="24"/>
          <w:highlight w:val="none"/>
          <w14:textFill>
            <w14:solidFill>
              <w14:schemeClr w14:val="tx1"/>
            </w14:solidFill>
          </w14:textFill>
        </w:rPr>
        <w:t>在接到完整的竣工结算资料后，应在下列时限内完成结算审核</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w:t>
      </w:r>
      <w:r>
        <w:rPr>
          <w:rFonts w:hint="eastAsia" w:cs="Times New Roman"/>
          <w:strike w:val="0"/>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审）</w:t>
      </w:r>
      <w:r>
        <w:rPr>
          <w:rFonts w:hint="default" w:ascii="Times New Roman" w:hAnsi="Times New Roman" w:cs="Times New Roman"/>
          <w:strike w:val="0"/>
          <w:color w:val="000000" w:themeColor="text1"/>
          <w:sz w:val="24"/>
          <w:szCs w:val="24"/>
          <w:highlight w:val="none"/>
          <w14:textFill>
            <w14:solidFill>
              <w14:schemeClr w14:val="tx1"/>
            </w14:solidFill>
          </w14:textFill>
        </w:rPr>
        <w:t>工作：（咨询人须在接收资料5日内，一次性提出项目资料补充清单。）</w:t>
      </w:r>
    </w:p>
    <w:p w14:paraId="5A023E89">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1.送审金额在 3000万元以下的，审计期限为 10个工作日</w:t>
      </w:r>
      <w:r>
        <w:rPr>
          <w:rFonts w:hint="eastAsia" w:cs="Times New Roman"/>
          <w:strike w:val="0"/>
          <w:color w:val="000000" w:themeColor="text1"/>
          <w:sz w:val="24"/>
          <w:szCs w:val="24"/>
          <w:highlight w:val="none"/>
          <w:lang w:val="en-US" w:eastAsia="zh-CN"/>
          <w14:textFill>
            <w14:solidFill>
              <w14:schemeClr w14:val="tx1"/>
            </w14:solidFill>
          </w14:textFill>
        </w:rPr>
        <w:t>；</w:t>
      </w:r>
    </w:p>
    <w:p w14:paraId="2F9586F1">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2.送审金额在 3000 万元(含)至 5000 万元的，审计期限为15 个工作日</w:t>
      </w:r>
      <w:r>
        <w:rPr>
          <w:rFonts w:hint="eastAsia" w:cs="Times New Roman"/>
          <w:strike w:val="0"/>
          <w:color w:val="000000" w:themeColor="text1"/>
          <w:sz w:val="24"/>
          <w:szCs w:val="24"/>
          <w:highlight w:val="none"/>
          <w:lang w:val="en-US" w:eastAsia="zh-CN"/>
          <w14:textFill>
            <w14:solidFill>
              <w14:schemeClr w14:val="tx1"/>
            </w14:solidFill>
          </w14:textFill>
        </w:rPr>
        <w:t>；</w:t>
      </w:r>
    </w:p>
    <w:p w14:paraId="745D4308">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3.送审金额在 5000万元(含)至 10000 万元的，审计期限为 25 个工作日</w:t>
      </w:r>
      <w:r>
        <w:rPr>
          <w:rFonts w:hint="eastAsia" w:cs="Times New Roman"/>
          <w:strike w:val="0"/>
          <w:color w:val="000000" w:themeColor="text1"/>
          <w:sz w:val="24"/>
          <w:szCs w:val="24"/>
          <w:highlight w:val="none"/>
          <w:lang w:val="en-US" w:eastAsia="zh-CN"/>
          <w14:textFill>
            <w14:solidFill>
              <w14:schemeClr w14:val="tx1"/>
            </w14:solidFill>
          </w14:textFill>
        </w:rPr>
        <w:t>；</w:t>
      </w:r>
    </w:p>
    <w:p w14:paraId="2FB14589">
      <w:pPr>
        <w:pStyle w:val="23"/>
        <w:numPr>
          <w:ilvl w:val="0"/>
          <w:numId w:val="0"/>
        </w:numPr>
        <w:adjustRightInd w:val="0"/>
        <w:spacing w:line="560" w:lineRule="exact"/>
        <w:ind w:left="0" w:leftChars="0"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4.送审金额在 10000万元(含)以上的，审计期限为 30个工作日</w:t>
      </w:r>
      <w:r>
        <w:rPr>
          <w:rFonts w:hint="default" w:ascii="Times New Roman" w:hAnsi="Times New Roman" w:cs="Times New Roman"/>
          <w:strike w:val="0"/>
          <w:color w:val="000000" w:themeColor="text1"/>
          <w:sz w:val="24"/>
          <w:szCs w:val="24"/>
          <w:highlight w:val="none"/>
          <w14:textFill>
            <w14:solidFill>
              <w14:schemeClr w14:val="tx1"/>
            </w14:solidFill>
          </w14:textFill>
        </w:rPr>
        <w:t>。</w:t>
      </w:r>
    </w:p>
    <w:p w14:paraId="3834F7CE">
      <w:pPr>
        <w:pStyle w:val="11"/>
        <w:adjustRightInd w:val="0"/>
        <w:spacing w:before="0" w:after="0" w:line="560" w:lineRule="exact"/>
        <w:ind w:firstLine="482" w:firstLineChars="200"/>
        <w:jc w:val="left"/>
        <w:rPr>
          <w:rFonts w:hint="default" w:ascii="Times New Roman" w:hAnsi="Times New Roman" w:cs="Times New Roman" w:eastAsiaTheme="minorEastAsia"/>
          <w:color w:val="000000" w:themeColor="text1"/>
          <w:szCs w:val="24"/>
          <w:highlight w:val="none"/>
          <w:lang w:val="en-US" w:eastAsia="zh-CN"/>
          <w14:textFill>
            <w14:solidFill>
              <w14:schemeClr w14:val="tx1"/>
            </w14:solidFill>
          </w14:textFill>
        </w:rPr>
      </w:pPr>
      <w:bookmarkStart w:id="65" w:name="_Toc18386"/>
      <w:bookmarkStart w:id="66" w:name="_Toc419045061"/>
      <w:bookmarkStart w:id="67" w:name="_Toc20945"/>
      <w:bookmarkStart w:id="68" w:name="_Toc16072"/>
      <w:bookmarkStart w:id="69" w:name="_Toc1380722450"/>
      <w:bookmarkStart w:id="70" w:name="_Toc10229"/>
      <w:bookmarkStart w:id="71" w:name="_Toc18067"/>
      <w:bookmarkStart w:id="72" w:name="_Toc22489"/>
      <w:bookmarkStart w:id="73" w:name="_Toc22147"/>
      <w:bookmarkStart w:id="74" w:name="_Toc20068"/>
      <w:bookmarkStart w:id="75" w:name="_Toc26869"/>
      <w:bookmarkStart w:id="76" w:name="_Toc25630"/>
      <w:bookmarkStart w:id="77" w:name="_Toc1353"/>
      <w:bookmarkStart w:id="78" w:name="_Toc19374"/>
      <w:bookmarkStart w:id="79" w:name="_Toc22568"/>
      <w:bookmarkStart w:id="80" w:name="_Toc10213"/>
      <w:r>
        <w:rPr>
          <w:rFonts w:hint="default" w:ascii="Times New Roman" w:hAnsi="Times New Roman" w:cs="Times New Roman"/>
          <w:color w:val="000000" w:themeColor="text1"/>
          <w:szCs w:val="24"/>
          <w:highlight w:val="none"/>
          <w14:textFill>
            <w14:solidFill>
              <w14:schemeClr w14:val="tx1"/>
            </w14:solidFill>
          </w14:textFill>
        </w:rPr>
        <w:t>四、质量标准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2DB9FD1">
      <w:pPr>
        <w:adjustRightInd w:val="0"/>
        <w:spacing w:line="560" w:lineRule="exact"/>
        <w:ind w:firstLine="480" w:firstLineChars="200"/>
        <w:jc w:val="both"/>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default" w:ascii="Times New Roman" w:hAnsi="Times New Roman" w:cs="Times New Roman"/>
          <w:color w:val="000000" w:themeColor="text1"/>
          <w:highlight w:val="none"/>
          <w:u w:val="single"/>
          <w14:textFill>
            <w14:solidFill>
              <w14:schemeClr w14:val="tx1"/>
            </w14:solidFill>
          </w14:textFill>
        </w:rPr>
        <w:t xml:space="preserve"> 《建设工程造价咨询规范》(GB/T51095-2015)《建设</w:t>
      </w:r>
      <w:r>
        <w:rPr>
          <w:rFonts w:hint="eastAsia" w:ascii="Times New Roman" w:hAnsi="Times New Roman" w:cs="Times New Roman"/>
          <w:color w:val="000000" w:themeColor="text1"/>
          <w:highlight w:val="none"/>
          <w:u w:val="single"/>
          <w:lang w:eastAsia="zh-CN"/>
          <w14:textFill>
            <w14:solidFill>
              <w14:schemeClr w14:val="tx1"/>
            </w14:solidFill>
          </w14:textFill>
        </w:rPr>
        <w:t>项目</w:t>
      </w:r>
      <w:r>
        <w:rPr>
          <w:rFonts w:hint="default" w:ascii="Times New Roman" w:hAnsi="Times New Roman" w:cs="Times New Roman"/>
          <w:color w:val="000000" w:themeColor="text1"/>
          <w:highlight w:val="none"/>
          <w:u w:val="single"/>
          <w14:textFill>
            <w14:solidFill>
              <w14:schemeClr w14:val="tx1"/>
            </w14:solidFill>
          </w14:textFill>
        </w:rPr>
        <w:t>工程结算编审规程》(CECA/GC 3-2019)等相关要求。</w:t>
      </w:r>
    </w:p>
    <w:p w14:paraId="75C3572A">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81" w:name="_Toc14337"/>
      <w:bookmarkStart w:id="82" w:name="_Toc20473"/>
      <w:bookmarkStart w:id="83" w:name="_Toc29505"/>
      <w:bookmarkStart w:id="84" w:name="_Toc22396"/>
      <w:bookmarkStart w:id="85" w:name="_Toc93927668"/>
      <w:bookmarkStart w:id="86" w:name="_Toc14555"/>
      <w:bookmarkStart w:id="87" w:name="_Toc419045062"/>
      <w:bookmarkStart w:id="88" w:name="_Toc14823"/>
      <w:bookmarkStart w:id="89" w:name="_Toc6702"/>
      <w:bookmarkStart w:id="90" w:name="_Toc30394"/>
      <w:bookmarkStart w:id="91" w:name="_Toc2127"/>
      <w:bookmarkStart w:id="92" w:name="_Toc23163"/>
      <w:bookmarkStart w:id="93" w:name="_Toc14997"/>
      <w:bookmarkStart w:id="94" w:name="_Toc6850"/>
      <w:bookmarkStart w:id="95" w:name="_Toc1227"/>
      <w:bookmarkStart w:id="96" w:name="_Toc11943"/>
      <w:bookmarkStart w:id="97" w:name="12"/>
      <w:r>
        <w:rPr>
          <w:rFonts w:hint="default" w:ascii="Times New Roman" w:hAnsi="Times New Roman" w:cs="Times New Roman"/>
          <w:color w:val="000000" w:themeColor="text1"/>
          <w:szCs w:val="24"/>
          <w:highlight w:val="none"/>
          <w14:textFill>
            <w14:solidFill>
              <w14:schemeClr w14:val="tx1"/>
            </w14:solidFill>
          </w14:textFill>
        </w:rPr>
        <w:t>五、酬金或计取方式</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0DB6E62">
      <w:pPr>
        <w:adjustRightInd w:val="0"/>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1.酬金：按照本条第2款约定的计算方式办理结算。</w:t>
      </w:r>
    </w:p>
    <w:p w14:paraId="285997C0">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2.计取方式：</w:t>
      </w:r>
      <w:r>
        <w:rPr>
          <w:rFonts w:hint="default" w:ascii="Times New Roman" w:hAnsi="Times New Roman" w:cs="Times New Roman"/>
          <w:b w:val="0"/>
          <w:bCs w:val="0"/>
          <w:color w:val="000000" w:themeColor="text1"/>
          <w:highlight w:val="none"/>
          <w:u w:val="single"/>
          <w14:textFill>
            <w14:solidFill>
              <w14:schemeClr w14:val="tx1"/>
            </w14:solidFill>
          </w14:textFill>
        </w:rPr>
        <w:t>双方同意按以下方法计算、支付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正常的服务酬金：</w:t>
      </w:r>
    </w:p>
    <w:p w14:paraId="2D8EEA48">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（1）</w:t>
      </w:r>
      <w:bookmarkStart w:id="98" w:name="_Hlk135383130"/>
      <w:r>
        <w:rPr>
          <w:rFonts w:hint="default" w:ascii="Times New Roman" w:hAnsi="Times New Roman" w:cs="Times New Roman"/>
          <w:b w:val="0"/>
          <w:bCs w:val="0"/>
          <w:color w:val="000000" w:themeColor="text1"/>
          <w:highlight w:val="none"/>
          <w:u w:val="single"/>
          <w14:textFill>
            <w14:solidFill>
              <w14:schemeClr w14:val="tx1"/>
            </w14:solidFill>
          </w14:textFill>
        </w:rPr>
        <w:t>工程竣工结算审核费=基本审核费+</w:t>
      </w:r>
      <w:bookmarkEnd w:id="98"/>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-酬金扣减金额；</w:t>
      </w:r>
    </w:p>
    <w:p w14:paraId="023CE32D">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b w:val="0"/>
          <w:bCs w:val="0"/>
          <w:color w:val="000000" w:themeColor="text1"/>
          <w:highlight w:val="none"/>
          <w:u w:val="single"/>
          <w14:textFill>
            <w14:solidFill>
              <w14:schemeClr w14:val="tx1"/>
            </w14:solidFill>
          </w14:textFill>
        </w:rPr>
        <w:t>）基本审核费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项目送审金额×成交费率</w:t>
      </w:r>
    </w:p>
    <w:p w14:paraId="19B109D7">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3</w:t>
      </w:r>
      <w:r>
        <w:rPr>
          <w:rFonts w:hint="default" w:ascii="Times New Roman" w:hAnsi="Times New Roman" w:cs="Times New Roman"/>
          <w:b w:val="0"/>
          <w:bCs w:val="0"/>
          <w:color w:val="000000" w:themeColor="text1"/>
          <w:highlight w:val="none"/>
          <w:u w:val="single"/>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按工程造价审减净额的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5%支</w:t>
      </w:r>
      <w:r>
        <w:rPr>
          <w:rFonts w:hint="default" w:ascii="Times New Roman" w:hAnsi="Times New Roman" w:cs="Times New Roman"/>
          <w:b w:val="0"/>
          <w:bCs w:val="0"/>
          <w:color w:val="000000" w:themeColor="text1"/>
          <w:highlight w:val="none"/>
          <w:u w:val="single"/>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（含税费）；</w:t>
      </w:r>
    </w:p>
    <w:p w14:paraId="4074C2D1">
      <w:pPr>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highlight w:val="none"/>
          <w:u w:val="single"/>
          <w14:textFill>
            <w14:solidFill>
              <w14:schemeClr w14:val="tx1"/>
            </w14:solidFill>
          </w14:textFill>
        </w:rPr>
        <w:t>酬金扣减金额:扣</w:t>
      </w:r>
      <w:r>
        <w:rPr>
          <w:rFonts w:hint="default" w:ascii="Times New Roman" w:hAnsi="Times New Roman" w:cs="Times New Roman"/>
          <w:color w:val="000000" w:themeColor="text1"/>
          <w:highlight w:val="none"/>
          <w:u w:val="single"/>
          <w:lang w:val="en-US" w:eastAsia="zh-CN"/>
          <w14:textFill>
            <w14:solidFill>
              <w14:schemeClr w14:val="tx1"/>
            </w14:solidFill>
          </w14:textFill>
        </w:rPr>
        <w:t>减</w:t>
      </w:r>
      <w:r>
        <w:rPr>
          <w:rFonts w:hint="default" w:ascii="Times New Roman" w:hAnsi="Times New Roman" w:cs="Times New Roman"/>
          <w:color w:val="000000" w:themeColor="text1"/>
          <w:highlight w:val="none"/>
          <w:u w:val="single"/>
          <w14:textFill>
            <w14:solidFill>
              <w14:schemeClr w14:val="tx1"/>
            </w14:solidFill>
          </w14:textFill>
        </w:rPr>
        <w:t>方式详见专用条件第9.</w:t>
      </w:r>
      <w:r>
        <w:rPr>
          <w:rFonts w:hint="eastAsia" w:ascii="Times New Roman" w:hAnsi="Times New Roman" w:cs="Times New Roman"/>
          <w:color w:val="000000" w:themeColor="text1"/>
          <w:highlight w:val="none"/>
          <w:u w:val="single"/>
          <w:lang w:val="en-US" w:eastAsia="zh-CN"/>
          <w14:textFill>
            <w14:solidFill>
              <w14:schemeClr w14:val="tx1"/>
            </w14:solidFill>
          </w14:textFill>
        </w:rPr>
        <w:t>2</w:t>
      </w:r>
      <w:r>
        <w:rPr>
          <w:rFonts w:hint="default" w:ascii="Times New Roman" w:hAnsi="Times New Roman" w:cs="Times New Roman"/>
          <w:color w:val="000000" w:themeColor="text1"/>
          <w:highlight w:val="none"/>
          <w:u w:val="single"/>
          <w14:textFill>
            <w14:solidFill>
              <w14:schemeClr w14:val="tx1"/>
            </w14:solidFill>
          </w14:textFill>
        </w:rPr>
        <w:t>约定</w:t>
      </w:r>
    </w:p>
    <w:p w14:paraId="250F0A8D">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）经复审机构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或审计机关</w:t>
      </w:r>
      <w:r>
        <w:rPr>
          <w:rFonts w:hint="default" w:ascii="Times New Roman" w:hAnsi="Times New Roman" w:cs="Times New Roman"/>
          <w:b w:val="0"/>
          <w:bCs w:val="0"/>
          <w:color w:val="000000" w:themeColor="text1"/>
          <w:highlight w:val="none"/>
          <w:u w:val="single"/>
          <w14:textFill>
            <w14:solidFill>
              <w14:schemeClr w14:val="tx1"/>
            </w14:solidFill>
          </w14:textFill>
        </w:rPr>
        <w:t>复核后另有审</w:t>
      </w:r>
      <w:bookmarkStart w:id="99" w:name="OLE_LINK16"/>
      <w:r>
        <w:rPr>
          <w:rFonts w:hint="default" w:ascii="Times New Roman" w:hAnsi="Times New Roman" w:cs="Times New Roman"/>
          <w:b w:val="0"/>
          <w:bCs w:val="0"/>
          <w:color w:val="000000" w:themeColor="text1"/>
          <w:highlight w:val="none"/>
          <w:u w:val="single"/>
          <w14:textFill>
            <w14:solidFill>
              <w14:schemeClr w14:val="tx1"/>
            </w14:solidFill>
          </w14:textFill>
        </w:rPr>
        <w:t>减额的，不计入咨询人的审减额；</w:t>
      </w:r>
    </w:p>
    <w:p w14:paraId="0207C7F2">
      <w:pPr>
        <w:spacing w:line="560" w:lineRule="exact"/>
        <w:ind w:firstLine="480" w:firstLineChars="200"/>
        <w:jc w:val="both"/>
        <w:rPr>
          <w:rFonts w:hint="default" w:ascii="Times New Roman" w:hAnsi="Times New Roman" w:eastAsia="宋体" w:cs="Times New Roman"/>
          <w:b w:val="0"/>
          <w:bCs w:val="0"/>
          <w:color w:val="000000" w:themeColor="text1"/>
          <w:highlight w:val="none"/>
          <w:u w:val="single"/>
          <w:lang w:eastAsia="zh-CN"/>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6</w:t>
      </w:r>
      <w:r>
        <w:rPr>
          <w:rFonts w:hint="default" w:ascii="Times New Roman" w:hAnsi="Times New Roman" w:cs="Times New Roman"/>
          <w:b w:val="0"/>
          <w:bCs w:val="0"/>
          <w:color w:val="000000" w:themeColor="text1"/>
          <w:highlight w:val="none"/>
          <w:u w:val="single"/>
          <w14:textFill>
            <w14:solidFill>
              <w14:schemeClr w14:val="tx1"/>
            </w14:solidFill>
          </w14:textFill>
        </w:rPr>
        <w:t>）基本</w:t>
      </w:r>
      <w:bookmarkEnd w:id="99"/>
      <w:r>
        <w:rPr>
          <w:rFonts w:hint="default" w:ascii="Times New Roman" w:hAnsi="Times New Roman" w:cs="Times New Roman"/>
          <w:b w:val="0"/>
          <w:bCs w:val="0"/>
          <w:color w:val="000000" w:themeColor="text1"/>
          <w:highlight w:val="none"/>
          <w:u w:val="single"/>
          <w14:textFill>
            <w14:solidFill>
              <w14:schemeClr w14:val="tx1"/>
            </w14:solidFill>
          </w14:textFill>
        </w:rPr>
        <w:t>审核费及审减率在</w:t>
      </w:r>
      <w:r>
        <w:rPr>
          <w:rFonts w:ascii="Times New Roman" w:hAnsi="Times New Roman" w:cs="Times New Roman"/>
          <w:b w:val="0"/>
          <w:bCs w:val="0"/>
          <w:color w:val="000000" w:themeColor="text1"/>
          <w:highlight w:val="none"/>
          <w:u w:val="single"/>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以内</w:t>
      </w:r>
      <w:r>
        <w:rPr>
          <w:rFonts w:ascii="Times New Roman" w:hAnsi="Times New Roman" w:cs="Times New Roman"/>
          <w:b w:val="0"/>
          <w:bCs w:val="0"/>
          <w:color w:val="000000" w:themeColor="text1"/>
          <w:highlight w:val="none"/>
          <w:u w:val="single"/>
          <w14:textFill>
            <w14:solidFill>
              <w14:schemeClr w14:val="tx1"/>
            </w14:solidFill>
          </w14:textFill>
        </w:rPr>
        <w:t>（含5%）的效益审核费用，由建设单位承担；审减率超过5%部分的效益审核费及审增部分的审核费用，由施工单位承担，建设单位负责代扣代</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p>
    <w:p w14:paraId="22785E87">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7</w:t>
      </w:r>
      <w:r>
        <w:rPr>
          <w:rFonts w:hint="default" w:ascii="Times New Roman" w:hAnsi="Times New Roman" w:cs="Times New Roman"/>
          <w:b w:val="0"/>
          <w:bCs w:val="0"/>
          <w:color w:val="000000" w:themeColor="text1"/>
          <w:highlight w:val="none"/>
          <w:u w:val="single"/>
          <w14:textFill>
            <w14:solidFill>
              <w14:schemeClr w14:val="tx1"/>
            </w14:solidFill>
          </w14:textFill>
        </w:rPr>
        <w:t>）审核费用按单个项目(以立项批复或会议纪要为依据确定</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计算，如项目审核费用低于1500元，按1500元计付。(因</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原因，经复审或抽审，误差率超过合同约定时，按合同相关条款进行扣减，按扣减后的金额支付审计费)。</w:t>
      </w:r>
    </w:p>
    <w:p w14:paraId="5C045E50">
      <w:pPr>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0428D23F">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00" w:name="_Toc15083"/>
      <w:bookmarkStart w:id="101" w:name="_Toc28588"/>
      <w:bookmarkStart w:id="102" w:name="_Toc1567"/>
      <w:bookmarkStart w:id="103" w:name="_Toc241835531"/>
      <w:bookmarkStart w:id="104" w:name="_Toc30183"/>
      <w:bookmarkStart w:id="105" w:name="_Toc24506"/>
      <w:bookmarkStart w:id="106" w:name="_Toc31793"/>
      <w:bookmarkStart w:id="107" w:name="_Toc24516"/>
      <w:bookmarkStart w:id="108" w:name="_Toc1702"/>
      <w:bookmarkStart w:id="109" w:name="_Toc19992"/>
      <w:bookmarkStart w:id="110" w:name="_Toc16997"/>
      <w:bookmarkStart w:id="111" w:name="_Toc28285"/>
      <w:bookmarkStart w:id="112" w:name="_Toc26299"/>
      <w:bookmarkStart w:id="113" w:name="_Toc25619"/>
      <w:bookmarkStart w:id="114" w:name="_Toc8726"/>
      <w:bookmarkStart w:id="115" w:name="_Toc419045058"/>
      <w:r>
        <w:rPr>
          <w:rFonts w:hint="default" w:ascii="Times New Roman" w:hAnsi="Times New Roman" w:cs="Times New Roman"/>
          <w:color w:val="000000" w:themeColor="text1"/>
          <w:szCs w:val="24"/>
          <w:highlight w:val="none"/>
          <w14:textFill>
            <w14:solidFill>
              <w14:schemeClr w14:val="tx1"/>
            </w14:solidFill>
          </w14:textFill>
        </w:rPr>
        <w:t>六、合同文件的构成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E9330B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本协议书与下列文件一起构成合同文件:</w:t>
      </w:r>
    </w:p>
    <w:p w14:paraId="4E8E1AA4">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1.中标通知书或委托书（如果有）；</w:t>
      </w:r>
    </w:p>
    <w:p w14:paraId="107AAF9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2.投标函或造价咨询服务建议书（如果有）；</w:t>
      </w:r>
    </w:p>
    <w:p w14:paraId="10BA1C7B">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3.专用条件；</w:t>
      </w:r>
    </w:p>
    <w:p w14:paraId="27DA87B5">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4.通用条件；</w:t>
      </w:r>
    </w:p>
    <w:p w14:paraId="45B19BE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5.其他合同文件。</w:t>
      </w:r>
    </w:p>
    <w:p w14:paraId="79F728A6">
      <w:pPr>
        <w:pStyle w:val="23"/>
        <w:adjustRightInd w:val="0"/>
        <w:spacing w:line="560" w:lineRule="exact"/>
        <w:ind w:firstLine="480" w:firstLineChars="200"/>
        <w:rPr>
          <w:rFonts w:ascii="Times New Roman" w:hAnsi="Times New Roman" w:cs="Times New Roman"/>
          <w:bCs/>
          <w:smallCap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14:paraId="1C42FFD6">
      <w:pPr>
        <w:pStyle w:val="11"/>
        <w:adjustRightInd w:val="0"/>
        <w:spacing w:before="0" w:after="0" w:line="560" w:lineRule="exact"/>
        <w:ind w:firstLine="482" w:firstLineChars="200"/>
        <w:jc w:val="left"/>
        <w:rPr>
          <w:rStyle w:val="13"/>
          <w:rFonts w:hint="default" w:ascii="Times New Roman" w:hAnsi="Times New Roman" w:cs="Times New Roman"/>
          <w:b/>
          <w:bCs/>
          <w:color w:val="000000" w:themeColor="text1"/>
          <w:szCs w:val="24"/>
          <w:highlight w:val="none"/>
          <w14:textFill>
            <w14:solidFill>
              <w14:schemeClr w14:val="tx1"/>
            </w14:solidFill>
          </w14:textFill>
        </w:rPr>
      </w:pPr>
      <w:bookmarkStart w:id="116" w:name="_Toc419045057"/>
      <w:bookmarkStart w:id="117" w:name="_Toc14553"/>
      <w:bookmarkStart w:id="118" w:name="_Toc15331"/>
      <w:bookmarkStart w:id="119" w:name="_Toc9329"/>
      <w:bookmarkStart w:id="120" w:name="_Toc31511"/>
      <w:bookmarkStart w:id="121" w:name="_Toc30932"/>
      <w:bookmarkStart w:id="122" w:name="_Toc12636"/>
      <w:bookmarkStart w:id="123" w:name="_Toc31021"/>
      <w:bookmarkStart w:id="124" w:name="_Toc29132"/>
      <w:bookmarkStart w:id="125" w:name="_Toc5289"/>
      <w:bookmarkStart w:id="126" w:name="_Toc31983"/>
      <w:bookmarkStart w:id="127" w:name="_Toc1490709393"/>
      <w:bookmarkStart w:id="128" w:name="_Toc32065"/>
      <w:bookmarkStart w:id="129" w:name="_Toc6809"/>
      <w:bookmarkStart w:id="130" w:name="_Toc28532"/>
      <w:bookmarkStart w:id="131" w:name="_Toc5498"/>
      <w:r>
        <w:rPr>
          <w:rStyle w:val="13"/>
          <w:rFonts w:hint="default" w:ascii="Times New Roman" w:hAnsi="Times New Roman" w:cs="Times New Roman"/>
          <w:b/>
          <w:bCs/>
          <w:color w:val="000000" w:themeColor="text1"/>
          <w:szCs w:val="24"/>
          <w:highlight w:val="none"/>
          <w14:textFill>
            <w14:solidFill>
              <w14:schemeClr w14:val="tx1"/>
            </w14:solidFill>
          </w14:textFill>
        </w:rPr>
        <w:t>七、</w:t>
      </w:r>
      <w:bookmarkStart w:id="132" w:name="8"/>
      <w:r>
        <w:rPr>
          <w:rStyle w:val="13"/>
          <w:rFonts w:hint="default" w:ascii="Times New Roman" w:hAnsi="Times New Roman" w:cs="Times New Roman"/>
          <w:b/>
          <w:bCs/>
          <w:color w:val="000000" w:themeColor="text1"/>
          <w:szCs w:val="24"/>
          <w:highlight w:val="none"/>
          <w14:textFill>
            <w14:solidFill>
              <w14:schemeClr w14:val="tx1"/>
            </w14:solidFill>
          </w14:textFill>
        </w:rPr>
        <w:t>词语</w:t>
      </w:r>
      <w:bookmarkEnd w:id="116"/>
      <w:r>
        <w:rPr>
          <w:rStyle w:val="13"/>
          <w:rFonts w:hint="default" w:ascii="Times New Roman" w:hAnsi="Times New Roman" w:cs="Times New Roman"/>
          <w:b/>
          <w:bCs/>
          <w:color w:val="000000" w:themeColor="text1"/>
          <w:szCs w:val="24"/>
          <w:highlight w:val="none"/>
          <w14:textFill>
            <w14:solidFill>
              <w14:schemeClr w14:val="tx1"/>
            </w14:solidFill>
          </w14:textFill>
        </w:rPr>
        <w:t>定义</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9D1EBE8">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协议书中相关词语的含义与通用条件中的定义与解释相同。</w:t>
      </w:r>
      <w:bookmarkEnd w:id="132"/>
    </w:p>
    <w:p w14:paraId="03E16130">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3" w:name="_Toc31429"/>
      <w:bookmarkStart w:id="134" w:name="_Toc1808542249"/>
      <w:bookmarkStart w:id="135" w:name="_Toc18057"/>
      <w:bookmarkStart w:id="136" w:name="_Toc419045063"/>
      <w:bookmarkStart w:id="137" w:name="_Toc15849"/>
      <w:bookmarkStart w:id="138" w:name="_Toc28244"/>
      <w:bookmarkStart w:id="139" w:name="_Toc11467"/>
      <w:bookmarkStart w:id="140" w:name="_Toc17788"/>
      <w:bookmarkStart w:id="141" w:name="_Toc15696"/>
      <w:bookmarkStart w:id="142" w:name="_Toc12581"/>
      <w:bookmarkStart w:id="143" w:name="_Toc7349"/>
      <w:bookmarkStart w:id="144" w:name="_Toc9636"/>
      <w:bookmarkStart w:id="145" w:name="_Toc21005"/>
      <w:bookmarkStart w:id="146" w:name="_Toc20888"/>
      <w:bookmarkStart w:id="147" w:name="_Toc4158"/>
      <w:bookmarkStart w:id="148" w:name="_Toc22201"/>
      <w:r>
        <w:rPr>
          <w:rFonts w:hint="default" w:ascii="Times New Roman" w:hAnsi="Times New Roman" w:cs="Times New Roman"/>
          <w:color w:val="000000" w:themeColor="text1"/>
          <w:szCs w:val="24"/>
          <w:highlight w:val="none"/>
          <w14:textFill>
            <w14:solidFill>
              <w14:schemeClr w14:val="tx1"/>
            </w14:solidFill>
          </w14:textFill>
        </w:rPr>
        <w:t>八、合同订立</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5D4436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1.订立时间：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202</w:t>
      </w:r>
      <w:r>
        <w:rPr>
          <w:rFonts w:hint="eastAsia"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日。</w:t>
      </w:r>
    </w:p>
    <w:p w14:paraId="4989BF2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2.订立地点：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四川省德阳市广汉市韶山路五段109号8栋 </w:t>
      </w:r>
      <w:r>
        <w:rPr>
          <w:rFonts w:hint="default" w:ascii="Times New Roman" w:hAnsi="Times New Roman" w:cs="Times New Roman"/>
          <w:color w:val="000000" w:themeColor="text1"/>
          <w:sz w:val="24"/>
          <w:szCs w:val="24"/>
          <w:highlight w:val="none"/>
          <w14:textFill>
            <w14:solidFill>
              <w14:schemeClr w14:val="tx1"/>
            </w14:solidFill>
          </w14:textFill>
        </w:rPr>
        <w:t>。</w:t>
      </w:r>
    </w:p>
    <w:p w14:paraId="4A1E3A44">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49" w:name="_Toc15239"/>
      <w:bookmarkStart w:id="150" w:name="_Toc18122"/>
      <w:bookmarkStart w:id="151" w:name="_Toc27013"/>
      <w:bookmarkStart w:id="152" w:name="_Toc12226"/>
      <w:bookmarkStart w:id="153" w:name="_Toc2604"/>
      <w:bookmarkStart w:id="154" w:name="_Toc686039305"/>
      <w:bookmarkStart w:id="155" w:name="_Toc16720"/>
      <w:bookmarkStart w:id="156" w:name="_Toc14592"/>
      <w:bookmarkStart w:id="157" w:name="_Toc17041"/>
      <w:bookmarkStart w:id="158" w:name="_Toc24774"/>
      <w:bookmarkStart w:id="159" w:name="_Toc419045064"/>
      <w:bookmarkStart w:id="160" w:name="_Toc9853"/>
      <w:bookmarkStart w:id="161" w:name="_Toc18777"/>
      <w:bookmarkStart w:id="162" w:name="_Toc21288"/>
      <w:bookmarkStart w:id="163" w:name="_Toc10936"/>
      <w:bookmarkStart w:id="164" w:name="_Toc15692"/>
      <w:r>
        <w:rPr>
          <w:rFonts w:hint="default" w:ascii="Times New Roman" w:hAnsi="Times New Roman" w:cs="Times New Roman"/>
          <w:color w:val="000000" w:themeColor="text1"/>
          <w:szCs w:val="24"/>
          <w:highlight w:val="none"/>
          <w14:textFill>
            <w14:solidFill>
              <w14:schemeClr w14:val="tx1"/>
            </w14:solidFill>
          </w14:textFill>
        </w:rPr>
        <w:t>九、合同生效</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E8ED11E">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委托人与咨询人双方共同签字</w:t>
      </w:r>
      <w:r>
        <w:rPr>
          <w:rFonts w:hint="eastAsia" w:cs="Times New Roman"/>
          <w:color w:val="000000" w:themeColor="text1"/>
          <w:sz w:val="24"/>
          <w:szCs w:val="24"/>
          <w:highlight w:val="none"/>
          <w:u w:val="single"/>
          <w:lang w:eastAsia="zh-CN"/>
          <w14:textFill>
            <w14:solidFill>
              <w14:schemeClr w14:val="tx1"/>
            </w14:solidFill>
          </w14:textFill>
        </w:rPr>
        <w:t>并</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盖章之日起  </w:t>
      </w:r>
      <w:r>
        <w:rPr>
          <w:rFonts w:hint="default" w:ascii="Times New Roman" w:hAnsi="Times New Roman" w:cs="Times New Roman"/>
          <w:color w:val="000000" w:themeColor="text1"/>
          <w:sz w:val="24"/>
          <w:szCs w:val="24"/>
          <w:highlight w:val="none"/>
          <w14:textFill>
            <w14:solidFill>
              <w14:schemeClr w14:val="tx1"/>
            </w14:solidFill>
          </w14:textFill>
        </w:rPr>
        <w:t>生效。</w:t>
      </w:r>
    </w:p>
    <w:p w14:paraId="2E4C1DA3">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65" w:name="_Toc23190"/>
      <w:bookmarkStart w:id="166" w:name="_Toc10190"/>
      <w:bookmarkStart w:id="167" w:name="_Toc638"/>
      <w:bookmarkStart w:id="168" w:name="_Toc15813"/>
      <w:bookmarkStart w:id="169" w:name="_Toc22787"/>
      <w:bookmarkStart w:id="170" w:name="_Toc7331"/>
      <w:bookmarkStart w:id="171" w:name="_Toc29773"/>
      <w:bookmarkStart w:id="172" w:name="_Toc419045065"/>
      <w:bookmarkStart w:id="173" w:name="_Toc15036"/>
      <w:bookmarkStart w:id="174" w:name="_Toc10645"/>
      <w:bookmarkStart w:id="175" w:name="_Toc1712"/>
      <w:bookmarkStart w:id="176" w:name="_Toc422898392"/>
      <w:bookmarkStart w:id="177" w:name="_Toc15032"/>
      <w:bookmarkStart w:id="178" w:name="_Toc29480"/>
      <w:bookmarkStart w:id="179" w:name="_Toc31816"/>
      <w:bookmarkStart w:id="180" w:name="_Toc21172"/>
      <w:r>
        <w:rPr>
          <w:rFonts w:hint="default" w:ascii="Times New Roman" w:hAnsi="Times New Roman" w:cs="Times New Roman"/>
          <w:color w:val="000000" w:themeColor="text1"/>
          <w:szCs w:val="24"/>
          <w:highlight w:val="none"/>
          <w14:textFill>
            <w14:solidFill>
              <w14:schemeClr w14:val="tx1"/>
            </w14:solidFill>
          </w14:textFill>
        </w:rPr>
        <w:t>十、合同份数</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5735C2B">
      <w:pPr>
        <w:pStyle w:val="23"/>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本合同一式</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肆  </w:t>
      </w:r>
      <w:r>
        <w:rPr>
          <w:rFonts w:hint="default" w:ascii="Times New Roman" w:hAnsi="Times New Roman" w:cs="Times New Roman"/>
          <w:color w:val="000000" w:themeColor="text1"/>
          <w:sz w:val="24"/>
          <w:szCs w:val="24"/>
          <w:highlight w:val="none"/>
          <w14:textFill>
            <w14:solidFill>
              <w14:schemeClr w14:val="tx1"/>
            </w14:solidFill>
          </w14:textFill>
        </w:rPr>
        <w:t>份，具有同等法律效力，其中委托人执</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 xml:space="preserve">份，咨询人执 </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份。</w:t>
      </w:r>
    </w:p>
    <w:p w14:paraId="37EFF33D">
      <w:pPr>
        <w:pStyle w:val="23"/>
        <w:adjustRightInd w:val="0"/>
        <w:spacing w:line="560" w:lineRule="exact"/>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2C6ED650">
      <w:pPr>
        <w:pStyle w:val="23"/>
        <w:adjustRightIn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2535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08A19F0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委 托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c>
          <w:tcPr>
            <w:tcW w:w="4535" w:type="dxa"/>
            <w:tcBorders>
              <w:top w:val="nil"/>
              <w:left w:val="nil"/>
              <w:bottom w:val="nil"/>
              <w:right w:val="nil"/>
            </w:tcBorders>
            <w:vAlign w:val="center"/>
          </w:tcPr>
          <w:p w14:paraId="5B01A72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 询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r>
      <w:tr w14:paraId="2FF2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60C539EF">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52DCB33F">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195BF51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7A6091C9">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（签字）</w:t>
            </w:r>
          </w:p>
        </w:tc>
        <w:tc>
          <w:tcPr>
            <w:tcW w:w="4535" w:type="dxa"/>
            <w:tcBorders>
              <w:top w:val="nil"/>
              <w:left w:val="nil"/>
              <w:bottom w:val="nil"/>
              <w:right w:val="nil"/>
            </w:tcBorders>
            <w:vAlign w:val="center"/>
          </w:tcPr>
          <w:p w14:paraId="42A68B5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204AA5B6">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3301CA34">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00712837">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（签字）  </w:t>
            </w:r>
          </w:p>
        </w:tc>
      </w:tr>
      <w:tr w14:paraId="0C9F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042D938">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c>
          <w:tcPr>
            <w:tcW w:w="4535" w:type="dxa"/>
            <w:tcBorders>
              <w:top w:val="nil"/>
              <w:left w:val="nil"/>
              <w:bottom w:val="nil"/>
              <w:right w:val="nil"/>
            </w:tcBorders>
            <w:vAlign w:val="center"/>
          </w:tcPr>
          <w:p w14:paraId="70B49FA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r>
      <w:tr w14:paraId="311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BABD03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纳税人识别码： </w:t>
            </w:r>
          </w:p>
        </w:tc>
        <w:tc>
          <w:tcPr>
            <w:tcW w:w="4535" w:type="dxa"/>
            <w:tcBorders>
              <w:top w:val="nil"/>
              <w:left w:val="nil"/>
              <w:bottom w:val="nil"/>
              <w:right w:val="nil"/>
            </w:tcBorders>
            <w:vAlign w:val="center"/>
          </w:tcPr>
          <w:p w14:paraId="32EDF9C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纳税人识别码：</w:t>
            </w:r>
          </w:p>
        </w:tc>
      </w:tr>
      <w:tr w14:paraId="75B8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22FBFEB">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住    所：</w:t>
            </w:r>
          </w:p>
        </w:tc>
        <w:tc>
          <w:tcPr>
            <w:tcW w:w="4535" w:type="dxa"/>
            <w:tcBorders>
              <w:top w:val="nil"/>
              <w:left w:val="nil"/>
              <w:bottom w:val="nil"/>
              <w:right w:val="nil"/>
            </w:tcBorders>
            <w:vAlign w:val="center"/>
          </w:tcPr>
          <w:p w14:paraId="78C50BF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住 所： </w:t>
            </w:r>
          </w:p>
        </w:tc>
      </w:tr>
      <w:tr w14:paraId="4DD4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B7E2591">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c>
          <w:tcPr>
            <w:tcW w:w="4535" w:type="dxa"/>
            <w:tcBorders>
              <w:top w:val="nil"/>
              <w:left w:val="nil"/>
              <w:bottom w:val="nil"/>
              <w:right w:val="nil"/>
            </w:tcBorders>
            <w:vAlign w:val="center"/>
          </w:tcPr>
          <w:p w14:paraId="58087C78">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r>
      <w:tr w14:paraId="5F4C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2F7023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开户银行：</w:t>
            </w:r>
          </w:p>
        </w:tc>
        <w:tc>
          <w:tcPr>
            <w:tcW w:w="4535" w:type="dxa"/>
            <w:tcBorders>
              <w:top w:val="nil"/>
              <w:left w:val="nil"/>
              <w:bottom w:val="nil"/>
              <w:right w:val="nil"/>
            </w:tcBorders>
            <w:vAlign w:val="center"/>
          </w:tcPr>
          <w:p w14:paraId="2A35B73F">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开户银行： </w:t>
            </w:r>
          </w:p>
        </w:tc>
      </w:tr>
      <w:tr w14:paraId="71F6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00B580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邮政编码： </w:t>
            </w:r>
          </w:p>
        </w:tc>
        <w:tc>
          <w:tcPr>
            <w:tcW w:w="4535" w:type="dxa"/>
            <w:tcBorders>
              <w:top w:val="nil"/>
              <w:left w:val="nil"/>
              <w:bottom w:val="nil"/>
              <w:right w:val="nil"/>
            </w:tcBorders>
            <w:vAlign w:val="center"/>
          </w:tcPr>
          <w:p w14:paraId="138E0B9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邮政编码：</w:t>
            </w:r>
          </w:p>
        </w:tc>
      </w:tr>
      <w:tr w14:paraId="50E6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3ED9F6E">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c>
          <w:tcPr>
            <w:tcW w:w="4535" w:type="dxa"/>
            <w:tcBorders>
              <w:top w:val="nil"/>
              <w:left w:val="nil"/>
              <w:bottom w:val="nil"/>
              <w:right w:val="nil"/>
            </w:tcBorders>
            <w:vAlign w:val="center"/>
          </w:tcPr>
          <w:p w14:paraId="04B9AAD1">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r>
      <w:tr w14:paraId="6B48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6F66E2D6">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传    真： </w:t>
            </w:r>
          </w:p>
        </w:tc>
        <w:tc>
          <w:tcPr>
            <w:tcW w:w="4535" w:type="dxa"/>
            <w:tcBorders>
              <w:top w:val="nil"/>
              <w:left w:val="nil"/>
              <w:bottom w:val="nil"/>
              <w:right w:val="nil"/>
            </w:tcBorders>
            <w:vAlign w:val="center"/>
          </w:tcPr>
          <w:p w14:paraId="66CF5562">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传    真：</w:t>
            </w:r>
          </w:p>
        </w:tc>
      </w:tr>
      <w:tr w14:paraId="21BB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3729A93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c>
          <w:tcPr>
            <w:tcW w:w="4535" w:type="dxa"/>
            <w:tcBorders>
              <w:top w:val="nil"/>
              <w:left w:val="nil"/>
              <w:bottom w:val="nil"/>
              <w:right w:val="nil"/>
            </w:tcBorders>
            <w:vAlign w:val="center"/>
          </w:tcPr>
          <w:p w14:paraId="0079BA11">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r>
      <w:bookmarkEnd w:id="97"/>
    </w:tbl>
    <w:p w14:paraId="323049ED">
      <w:pPr>
        <w:pStyle w:val="3"/>
        <w:adjustRightInd w:val="0"/>
        <w:spacing w:before="120" w:after="120" w:line="360" w:lineRule="auto"/>
        <w:jc w:val="center"/>
        <w:outlineLvl w:val="9"/>
        <w:rPr>
          <w:rFonts w:hint="default" w:ascii="Times New Roman" w:hAnsi="Times New Roman" w:cs="Times New Roman"/>
          <w:color w:val="000000" w:themeColor="text1"/>
          <w:sz w:val="30"/>
          <w:szCs w:val="30"/>
          <w:highlight w:val="none"/>
          <w14:textFill>
            <w14:solidFill>
              <w14:schemeClr w14:val="tx1"/>
            </w14:solidFill>
          </w14:textFill>
        </w:rPr>
        <w:sectPr>
          <w:footerReference r:id="rId5" w:type="default"/>
          <w:pgSz w:w="11906" w:h="16838"/>
          <w:pgMar w:top="1440" w:right="1803" w:bottom="1440" w:left="1803" w:header="851" w:footer="992" w:gutter="0"/>
          <w:pgNumType w:fmt="decimal" w:start="1"/>
          <w:cols w:space="720" w:num="1"/>
          <w:docGrid w:linePitch="326" w:charSpace="0"/>
        </w:sectPr>
      </w:pPr>
      <w:bookmarkStart w:id="181" w:name="_Toc21678"/>
      <w:bookmarkStart w:id="182" w:name="_Toc32025"/>
      <w:bookmarkStart w:id="183" w:name="_Toc419045066"/>
    </w:p>
    <w:p w14:paraId="2E2E9D6F">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184" w:name="_Toc23533"/>
      <w:bookmarkStart w:id="185" w:name="_Toc15580"/>
      <w:bookmarkStart w:id="186" w:name="_Toc4953"/>
      <w:bookmarkStart w:id="187" w:name="_Toc11887"/>
      <w:bookmarkStart w:id="188" w:name="_Toc1629886421"/>
      <w:bookmarkStart w:id="189" w:name="_Toc15272"/>
      <w:bookmarkStart w:id="190" w:name="_Toc3359"/>
      <w:bookmarkStart w:id="191" w:name="_Toc24622"/>
      <w:bookmarkStart w:id="192" w:name="_Toc27250"/>
      <w:bookmarkStart w:id="193" w:name="_Toc20782"/>
      <w:bookmarkStart w:id="194" w:name="_Toc12613"/>
      <w:bookmarkStart w:id="195" w:name="_Toc8089"/>
      <w:bookmarkStart w:id="196" w:name="_Toc10001"/>
      <w:r>
        <w:rPr>
          <w:rFonts w:hint="default" w:ascii="Times New Roman" w:hAnsi="Times New Roman" w:cs="Times New Roman"/>
          <w:color w:val="000000" w:themeColor="text1"/>
          <w:sz w:val="30"/>
          <w:szCs w:val="30"/>
          <w:highlight w:val="none"/>
          <w14:textFill>
            <w14:solidFill>
              <w14:schemeClr w14:val="tx1"/>
            </w14:solidFill>
          </w14:textFill>
        </w:rPr>
        <w:t>第二部分　通用条件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4BB5B39">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197" w:name="_Toc5773"/>
      <w:bookmarkStart w:id="198" w:name="_Toc4160"/>
      <w:bookmarkStart w:id="199" w:name="_Toc25030"/>
      <w:bookmarkStart w:id="200" w:name="_Toc8853"/>
      <w:bookmarkStart w:id="201" w:name="_Toc25631"/>
      <w:bookmarkStart w:id="202" w:name="_Toc199676615"/>
      <w:bookmarkStart w:id="203" w:name="_Toc25478"/>
      <w:bookmarkStart w:id="204" w:name="_Toc16421"/>
      <w:bookmarkStart w:id="205" w:name="_Toc12775"/>
      <w:bookmarkStart w:id="206" w:name="_Toc514"/>
      <w:bookmarkStart w:id="207" w:name="_Toc11719"/>
      <w:bookmarkStart w:id="208" w:name="_Toc31103"/>
      <w:bookmarkStart w:id="209" w:name="_Toc17764"/>
      <w:bookmarkStart w:id="210" w:name="_Toc419045098"/>
      <w:r>
        <w:rPr>
          <w:rFonts w:hint="default" w:ascii="Times New Roman" w:hAnsi="Times New Roman" w:cs="Times New Roman"/>
          <w:color w:val="000000" w:themeColor="text1"/>
          <w:highlight w:val="none"/>
          <w:lang w:val="en-US" w:eastAsia="zh-CN"/>
          <w14:textFill>
            <w14:solidFill>
              <w14:schemeClr w14:val="tx1"/>
            </w14:solidFill>
          </w14:textFill>
        </w:rPr>
        <w:t>1.词语定义、语言、解释顺序与适用法律</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0B1839F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 词语定义</w:t>
      </w:r>
    </w:p>
    <w:p w14:paraId="17965B6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组成本合同的全部文件中的下列名词和用语应具有本款所赋予的含义：</w:t>
      </w:r>
    </w:p>
    <w:p w14:paraId="2C30170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1.1.1“工程”是指按照本合同约定实施造价咨询与其他服务的建设工程。</w:t>
      </w:r>
    </w:p>
    <w:p w14:paraId="6BC2D57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1.1.2“工程造价”是指工程项目建设过程中预计或实际支出的全部费用。</w:t>
      </w:r>
    </w:p>
    <w:p w14:paraId="6B9CF99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1.1.3“委托人”是指本合同中委托造价咨询与其他服务的一方，及其合法的继承人或受让人。</w:t>
      </w:r>
    </w:p>
    <w:p w14:paraId="0BBEB88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1.1.4“咨询人”是指本合同中提供造价咨询与其他服务的一方</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及其合法的继承人。</w:t>
      </w:r>
    </w:p>
    <w:p w14:paraId="2AC4CEC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1.1.5“第三人”是指除委托人、咨询人以外与本咨询业务有关的当事人。</w:t>
      </w:r>
    </w:p>
    <w:p w14:paraId="250CDDF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1.1.6“正常工作”是指本合同订立时通用条件和专用条件中约定的咨询人的工作。</w:t>
      </w:r>
    </w:p>
    <w:p w14:paraId="36F42BE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1.1.7“附加工作”是指咨询人根据合同条件完成的正常工作以外的工作。</w:t>
      </w:r>
    </w:p>
    <w:p w14:paraId="7FCCDF6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1.1.8“项目咨询团队”是指咨询人指派负责履行本合同的团队，其团队成员为本合同的项目咨询人员。</w:t>
      </w:r>
    </w:p>
    <w:p w14:paraId="4110A7D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1.1.9“项目负责人”是指由咨询人的法定代表人书面授权，在授权范围内负责履行本合同、主持项目咨询团队工作的负责人。</w:t>
      </w:r>
    </w:p>
    <w:p w14:paraId="4B345C2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1.1.10“委托人代表”是指由委托人的法定代表人书面授权，在授权范围内行使委托人权利的人。</w:t>
      </w:r>
    </w:p>
    <w:p w14:paraId="3A93198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1.1.11“酬金”是指咨询人履行本合同义务，委托人按照本合同约定给付咨询人的金额。</w:t>
      </w:r>
    </w:p>
    <w:p w14:paraId="32F548A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1.1.12“正常工作酬金”是指在协议书中载明的，咨询人完成正常工作，委托人应给付咨询人的酬金。</w:t>
      </w:r>
    </w:p>
    <w:p w14:paraId="03016EF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1.1.13“附加工作酬金”是指咨询人完成附加工作，委托人应给付咨询人的酬金。</w:t>
      </w:r>
    </w:p>
    <w:p w14:paraId="1940619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1.1.14“书面形式”是指合同书、信件和数据电文（包括电报、电传、传真、电子数据交换和电子邮件）等可以有形地表现所载内容的形式。</w:t>
      </w:r>
    </w:p>
    <w:p w14:paraId="3620F4F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1.1.15 “不可抗力”是指委托人和咨询人在订立本合同时不可预见，在合同履行过程中不可避免并不能克服的自然灾害和社会性突发事件，如地震、海啸、瘟疫、水灾、骚乱、暴动、战争等情形。</w:t>
      </w:r>
    </w:p>
    <w:p w14:paraId="65E89AF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1.2 语言</w:t>
      </w:r>
    </w:p>
    <w:p w14:paraId="16F68EC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本合同使用中文书写、解释和说明。如专用条件约定使用两种及以上语言文字时，应以中文为准。</w:t>
      </w:r>
    </w:p>
    <w:p w14:paraId="4423FC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1.3 合同文件的优先顺序</w:t>
      </w:r>
    </w:p>
    <w:p w14:paraId="0B5573A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组成本合同的下列文件彼此应能相互解释、互为说明。除专用条件另有约定外，本合同文件的解释顺序如下：</w:t>
      </w:r>
    </w:p>
    <w:p w14:paraId="2FD7224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1.协议书</w:t>
      </w:r>
    </w:p>
    <w:p w14:paraId="7D75DC6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2.中标通知书或委托书（如果有）；</w:t>
      </w:r>
    </w:p>
    <w:p w14:paraId="03CF093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3.专用条件及附录</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（如果有）</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p>
    <w:p w14:paraId="39F2ECB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4.通用条件；</w:t>
      </w:r>
    </w:p>
    <w:p w14:paraId="11FD968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5.投标函及投标函附录或造价咨询服务建议书（如果有）；</w:t>
      </w:r>
    </w:p>
    <w:p w14:paraId="03B535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6.其他合同文件。</w:t>
      </w:r>
    </w:p>
    <w:p w14:paraId="54AFB7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上述各项合同文件包括合同当事人就该项合同文件所作出的补充和修改，属于同一类内容的文件，应以最新签署的为准。在合同订立及履行过程中形成的与合同有关的文件均构成合同文件的组</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成部</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分。</w:t>
      </w:r>
    </w:p>
    <w:p w14:paraId="58457AE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1.4 适用法律</w:t>
      </w:r>
    </w:p>
    <w:p w14:paraId="2847C124">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2AF30C42">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11" w:name="_Toc26"/>
      <w:bookmarkStart w:id="212" w:name="_Toc28051"/>
      <w:bookmarkStart w:id="213" w:name="_Toc26826"/>
      <w:bookmarkStart w:id="214" w:name="_Toc30095"/>
      <w:bookmarkStart w:id="215" w:name="_Toc2977"/>
      <w:bookmarkStart w:id="216" w:name="_Toc3662"/>
      <w:bookmarkStart w:id="217" w:name="_Toc29139"/>
      <w:bookmarkStart w:id="218" w:name="_Toc28422"/>
      <w:bookmarkStart w:id="219" w:name="_Toc8024"/>
      <w:bookmarkStart w:id="220" w:name="_Toc9254"/>
      <w:bookmarkStart w:id="221" w:name="_Toc1595411691"/>
      <w:bookmarkStart w:id="222" w:name="_Toc25929"/>
      <w:bookmarkStart w:id="223" w:name="_Toc30473"/>
      <w:r>
        <w:rPr>
          <w:rFonts w:hint="default" w:ascii="Times New Roman" w:hAnsi="Times New Roman" w:cs="Times New Roman"/>
          <w:color w:val="000000" w:themeColor="text1"/>
          <w:highlight w:val="none"/>
          <w:lang w:val="en-US" w:eastAsia="zh-CN"/>
          <w14:textFill>
            <w14:solidFill>
              <w14:schemeClr w14:val="tx1"/>
            </w14:solidFill>
          </w14:textFill>
        </w:rPr>
        <w:t>2.委托人的义务</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3F7FF2B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2.1 提供资料</w:t>
      </w:r>
    </w:p>
    <w:p w14:paraId="201554E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无偿向咨询人提供与本合同咨询业务有关的资料。在本合同履行过程中，委托人应及时向咨询人提供最新的与本合同咨询业务有关的资料。委托人应对所提供资料的真实性、准确性、合法性与完整性负责。</w:t>
      </w:r>
    </w:p>
    <w:p w14:paraId="19CBFD9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 提供工作条件</w:t>
      </w:r>
    </w:p>
    <w:p w14:paraId="33F73CD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委托人应为咨询人完成造价咨询提供必要的条件。</w:t>
      </w:r>
    </w:p>
    <w:p w14:paraId="1393D51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2.2.1 委托人需要咨询人派驻项目现场咨询人员的，除专用条件另有约定外，项目咨询人员有权无偿使用由委托人提供的房屋及设备。</w:t>
      </w:r>
    </w:p>
    <w:p w14:paraId="4A0217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2.2.2 委托人应负责与本工程造价咨询业务有关的所有外部关系的协调，为咨询人履行本合同提供必要的外部条件。</w:t>
      </w:r>
    </w:p>
    <w:p w14:paraId="47D34EF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2.3 合理工作时限</w:t>
      </w:r>
    </w:p>
    <w:p w14:paraId="01B1DC0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委托人应当为咨询人完成其咨询工作，设定合理的工作时限。</w:t>
      </w:r>
    </w:p>
    <w:p w14:paraId="0521F5E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2.4 委托人代表</w:t>
      </w:r>
    </w:p>
    <w:p w14:paraId="7BC08B1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委托人应授权一名代表负责本合同的履行。委托人应在双方签订本合同 7 </w:t>
      </w:r>
    </w:p>
    <w:p w14:paraId="41B7026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日内，将委托人代表的姓名和权限范围书面告知咨询人。委托人更换委托人代表时，应提前 7 日书面通知咨询人。</w:t>
      </w:r>
    </w:p>
    <w:p w14:paraId="0E39381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2.5 答复</w:t>
      </w:r>
    </w:p>
    <w:p w14:paraId="7641D0F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委托人应当在专用条件约定的时间内就咨询人以书面形式提交并要求做出答复的事宜给予书面答复。逾期未答复的，由此造成的工作延误和损失由委托人承担。</w:t>
      </w:r>
    </w:p>
    <w:p w14:paraId="64DCBA9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2.6 支付</w:t>
      </w:r>
    </w:p>
    <w:p w14:paraId="2A8FAA1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委托人应当按照合同的约定，向咨询人支付酬金。</w:t>
      </w:r>
    </w:p>
    <w:p w14:paraId="6DE2E638">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24" w:name="_Toc603474195"/>
      <w:bookmarkStart w:id="225" w:name="_Toc10830"/>
      <w:bookmarkStart w:id="226" w:name="_Toc23638"/>
      <w:bookmarkStart w:id="227" w:name="_Toc25966"/>
      <w:bookmarkStart w:id="228" w:name="_Toc31957"/>
      <w:bookmarkStart w:id="229" w:name="_Toc3616"/>
      <w:bookmarkStart w:id="230" w:name="_Toc18642"/>
      <w:bookmarkStart w:id="231" w:name="_Toc13969"/>
      <w:bookmarkStart w:id="232" w:name="_Toc18348"/>
      <w:bookmarkStart w:id="233" w:name="_Toc12760"/>
      <w:bookmarkStart w:id="234" w:name="_Toc24271"/>
      <w:bookmarkStart w:id="235" w:name="_Toc1781"/>
      <w:bookmarkStart w:id="236" w:name="_Toc15385"/>
      <w:r>
        <w:rPr>
          <w:rFonts w:hint="default" w:ascii="Times New Roman" w:hAnsi="Times New Roman" w:cs="Times New Roman"/>
          <w:color w:val="000000" w:themeColor="text1"/>
          <w:highlight w:val="none"/>
          <w:lang w:val="en-US" w:eastAsia="zh-CN"/>
          <w14:textFill>
            <w14:solidFill>
              <w14:schemeClr w14:val="tx1"/>
            </w14:solidFill>
          </w14:textFill>
        </w:rPr>
        <w:t>3.咨询人的义务</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4623752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 项目咨询团队及人员</w:t>
      </w:r>
    </w:p>
    <w:p w14:paraId="66738DB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3.1.1 项目咨询团队的主要人员应具有专用条件约定的资格条件，团队人员的数量应符合专用条件的约定。</w:t>
      </w:r>
    </w:p>
    <w:p w14:paraId="376F72B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3.1.2 项目负责人 </w:t>
      </w:r>
    </w:p>
    <w:p w14:paraId="558225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咨询人应以书面形式授权一名项目负责人负责履行本合同、主持项目咨询团队工作。采用招标程序签署本合同的，项目负责人应当与投标文件载明的一致。</w:t>
      </w:r>
    </w:p>
    <w:p w14:paraId="7FB1CBC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3.1.3 在本合同履行过程中，咨询人员应保持相对稳定，以保证咨询工作正常进行。</w:t>
      </w:r>
    </w:p>
    <w:p w14:paraId="067F18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0BBF974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3.1.4 咨询人员有下列情形之一，委托人要求咨询人更换的，咨询人应当更换：</w:t>
      </w:r>
    </w:p>
    <w:p w14:paraId="010B26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（1）存在严重过失行为的；</w:t>
      </w:r>
    </w:p>
    <w:p w14:paraId="0658907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（2）存在违法行为不能履行职责的；</w:t>
      </w:r>
    </w:p>
    <w:p w14:paraId="0730E90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（3）涉嫌犯罪的；</w:t>
      </w:r>
    </w:p>
    <w:p w14:paraId="3507655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（4）不能胜任岗位职责的；</w:t>
      </w:r>
    </w:p>
    <w:p w14:paraId="53BA92C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（5）严重违反职业道德的；</w:t>
      </w:r>
    </w:p>
    <w:p w14:paraId="76EFA03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（6）专用条件约定的其他情形。</w:t>
      </w:r>
    </w:p>
    <w:p w14:paraId="4E77217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 咨询人的工作要求</w:t>
      </w:r>
    </w:p>
    <w:p w14:paraId="3925CCC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2B7D777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3.2.2 咨询人应当在专用条件约定的时间内，按照专用条件约定的份数、组成向委托人提交咨询成果文件。</w:t>
      </w:r>
    </w:p>
    <w:p w14:paraId="6D95744F">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223E751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3.2.3 咨询人提交的工程造价咨询成果文件，除加盖咨询人单位公章、工程造价咨询企业执业印章外，还必须按要求加盖参加咨询工作人员的执业（从业）资格印章。</w:t>
      </w:r>
    </w:p>
    <w:p w14:paraId="667E45C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3.2.4 咨询人应在专用条件约定的时间内，对委托人以书面形式提出的建议或者异议给予书面答复。</w:t>
      </w:r>
    </w:p>
    <w:p w14:paraId="1E3DCDD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3.2.5 咨询人从事工程造价咨询活动，应当遵循独立、客观、公正、诚实信用的原则，不得损害社会公共利益和他人的合法权益。</w:t>
      </w:r>
    </w:p>
    <w:p w14:paraId="50AE4CB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3.2.6 咨询人承诺按照法律规定及合同约定，完成合同范围内的建设工程造价咨询服务，不转包承接的造价咨询服务业务。</w:t>
      </w:r>
    </w:p>
    <w:p w14:paraId="75B36B1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3.3 咨询人的工作依据</w:t>
      </w:r>
    </w:p>
    <w:p w14:paraId="43C04F4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咨询人应在专用条件内与委托人协商明确履行本合同约定的咨询服务需要适用的技术标准、规范、定额等工作依据，但不得违反国家及工程所在地的强制性标准、规范。</w:t>
      </w:r>
    </w:p>
    <w:p w14:paraId="091D25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咨询人应自行配备本条所述的技术标准、规范、定额等相关资料。必须由委托人提供的资料，应在附录中载明。需要委托人协助才能获得的资料，委托人应予以协助。</w:t>
      </w:r>
    </w:p>
    <w:p w14:paraId="3E3C13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3.4 使用委托人房屋及设备的返还</w:t>
      </w:r>
    </w:p>
    <w:p w14:paraId="7292334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项目咨询人员使用委托人提供的房屋及设备的，咨询人应妥善使用和保管，在本合同终止时将上述房屋及设备按专用条件约定的时间和方式返还委托人。</w:t>
      </w:r>
    </w:p>
    <w:p w14:paraId="3A0D92C8">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37" w:name="_Toc30290"/>
      <w:bookmarkStart w:id="238" w:name="_Toc3399"/>
      <w:bookmarkStart w:id="239" w:name="_Toc31912"/>
      <w:bookmarkStart w:id="240" w:name="_Toc27923"/>
      <w:bookmarkStart w:id="241" w:name="_Toc20939"/>
      <w:bookmarkStart w:id="242" w:name="_Toc22421"/>
      <w:bookmarkStart w:id="243" w:name="_Toc22548"/>
      <w:bookmarkStart w:id="244" w:name="_Toc22501"/>
      <w:bookmarkStart w:id="245" w:name="_Toc18784"/>
      <w:bookmarkStart w:id="246" w:name="_Toc25530584"/>
      <w:bookmarkStart w:id="247" w:name="_Toc30680"/>
      <w:bookmarkStart w:id="248" w:name="_Toc16418"/>
      <w:bookmarkStart w:id="249" w:name="_Toc13702"/>
      <w:r>
        <w:rPr>
          <w:rFonts w:hint="default" w:ascii="Times New Roman" w:hAnsi="Times New Roman" w:cs="Times New Roman"/>
          <w:color w:val="000000" w:themeColor="text1"/>
          <w:highlight w:val="none"/>
          <w:lang w:val="en-US" w:eastAsia="zh-CN"/>
          <w14:textFill>
            <w14:solidFill>
              <w14:schemeClr w14:val="tx1"/>
            </w14:solidFill>
          </w14:textFill>
        </w:rPr>
        <w:t>4.违约责任</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AC49F1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 委托人的违约责任</w:t>
      </w:r>
    </w:p>
    <w:p w14:paraId="4C6B645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4.1.1 委托人不履行本合同义务或者履行义务不符合本合同约定的，应承担违约责任。双方可在专用条件中约定违约金的计算及支付方法。</w:t>
      </w:r>
    </w:p>
    <w:p w14:paraId="20BB08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4.1.2 委托人违反本合同约定造成咨询人损失的，委托人应予以赔偿。双方可在专用条件中约定赔偿金额的确定及支付方法。</w:t>
      </w:r>
    </w:p>
    <w:p w14:paraId="0A734DF6">
      <w:pPr>
        <w:snapToGrid/>
        <w:spacing w:line="560" w:lineRule="exact"/>
        <w:ind w:firstLine="480" w:firstLineChars="200"/>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4.1.3 委托人未能按期支付酬金超过 14 天，应按下列方法计算并支付逾期付款利息。逾期付款利息=当期应付款总额×中国人民银行发布的同期贷款基准利率×逾期支付天数(自逾期之日起计算) 。双方也可在专用条件中另行约定逾期付款利息的计算及支付方法。</w:t>
      </w:r>
    </w:p>
    <w:p w14:paraId="0CBF98F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4.2 咨询人的违约责任 </w:t>
      </w:r>
    </w:p>
    <w:p w14:paraId="1047766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4.2.1 咨询人不履行本合同义务或者履行义务不符合本合同约定的，应承担违约责任。双方可在专用条件中约定违约金的计算及支付方法。</w:t>
      </w:r>
    </w:p>
    <w:p w14:paraId="2EC058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4.2.2 因咨询人违反本合同约定给委托人造成损失的，咨询人应当赔偿委托人损失。双方可在专用条件中约定赔偿金额的确定及支付方法。</w:t>
      </w:r>
    </w:p>
    <w:p w14:paraId="495AD3A0">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50" w:name="_Toc28679"/>
      <w:bookmarkStart w:id="251" w:name="_Toc18147"/>
      <w:bookmarkStart w:id="252" w:name="_Toc32579"/>
      <w:bookmarkStart w:id="253" w:name="_Toc1743279535"/>
      <w:bookmarkStart w:id="254" w:name="_Toc17311"/>
      <w:bookmarkStart w:id="255" w:name="_Toc22442"/>
      <w:bookmarkStart w:id="256" w:name="_Toc22457"/>
      <w:bookmarkStart w:id="257" w:name="_Toc651"/>
      <w:bookmarkStart w:id="258" w:name="_Toc2831"/>
      <w:bookmarkStart w:id="259" w:name="_Toc7887"/>
      <w:bookmarkStart w:id="260" w:name="_Toc3976"/>
      <w:bookmarkStart w:id="261" w:name="_Toc29432"/>
      <w:bookmarkStart w:id="262" w:name="_Toc5223"/>
      <w:r>
        <w:rPr>
          <w:rFonts w:hint="default" w:ascii="Times New Roman" w:hAnsi="Times New Roman" w:cs="Times New Roman"/>
          <w:color w:val="000000" w:themeColor="text1"/>
          <w:highlight w:val="none"/>
          <w:lang w:val="en-US" w:eastAsia="zh-CN"/>
          <w14:textFill>
            <w14:solidFill>
              <w14:schemeClr w14:val="tx1"/>
            </w14:solidFill>
          </w14:textFill>
        </w:rPr>
        <w:t>5.支付</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46CC56B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5.1 支付货币</w:t>
      </w:r>
    </w:p>
    <w:p w14:paraId="54A42B6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除专用条件另有约定外，酬金均以人民币支付。涉及外币支付的，所采用的货币种类和汇率等在专用条件中约定。</w:t>
      </w:r>
    </w:p>
    <w:p w14:paraId="23D3199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5.2 支付申请</w:t>
      </w:r>
    </w:p>
    <w:p w14:paraId="35BD413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咨询人应在本合同约定的每次应付款日期前，向委托人提交支付申请书，支付申请书的提交日期由双方在专用条件中约定。支付申请书应当说明当期应付款总额，并列出当期应支付的款项及其金额。</w:t>
      </w:r>
    </w:p>
    <w:p w14:paraId="37353CA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5.3 支付酬金</w:t>
      </w:r>
    </w:p>
    <w:p w14:paraId="6B3116D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支付酬金包括正常工作酬金、附加工作酬金、合理化建议奖励金额及费用。</w:t>
      </w:r>
    </w:p>
    <w:p w14:paraId="4009700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5.4 有异议部分的支付</w:t>
      </w:r>
    </w:p>
    <w:p w14:paraId="6189A5A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委托人对咨询人提交的支付申请书有异议时，应当在收到咨询人提交的支付申请书后 7 日内，以书面形式向咨询人发出异议通知。无异议部分的款项应按期支付，有异议部分的款项按第 7 条约定办理。</w:t>
      </w:r>
    </w:p>
    <w:p w14:paraId="2A029B96">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63" w:name="_Toc21613"/>
      <w:bookmarkStart w:id="264" w:name="_Toc21858"/>
      <w:bookmarkStart w:id="265" w:name="_Toc13836"/>
      <w:bookmarkStart w:id="266" w:name="_Toc11825"/>
      <w:bookmarkStart w:id="267" w:name="_Toc28511"/>
      <w:bookmarkStart w:id="268" w:name="_Toc1903"/>
      <w:bookmarkStart w:id="269" w:name="_Toc15861"/>
      <w:bookmarkStart w:id="270" w:name="_Toc1179748724"/>
      <w:bookmarkStart w:id="271" w:name="_Toc16678"/>
      <w:bookmarkStart w:id="272" w:name="_Toc2928"/>
      <w:bookmarkStart w:id="273" w:name="_Toc7692"/>
      <w:bookmarkStart w:id="274" w:name="_Toc28202"/>
      <w:bookmarkStart w:id="275" w:name="_Toc11749"/>
      <w:r>
        <w:rPr>
          <w:rFonts w:hint="default" w:ascii="Times New Roman" w:hAnsi="Times New Roman" w:cs="Times New Roman"/>
          <w:color w:val="000000" w:themeColor="text1"/>
          <w:highlight w:val="none"/>
          <w:lang w:val="en-US" w:eastAsia="zh-CN"/>
          <w14:textFill>
            <w14:solidFill>
              <w14:schemeClr w14:val="tx1"/>
            </w14:solidFill>
          </w14:textFill>
        </w:rPr>
        <w:t>6.合同变更、解除与终止</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6414533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 合同变更</w:t>
      </w:r>
    </w:p>
    <w:p w14:paraId="7C611C8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6.1.1 任何一方以书面形式提出变更请求时，双方经协商一致后可进行变更。</w:t>
      </w:r>
    </w:p>
    <w:p w14:paraId="1E7F63B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7EFEDD5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199FDAF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6.1.4 因工程规模、服务范围及工作内容的变化等导致咨询人的工作量增减时，服务酬金应作相应调整，调整方法由双方在专用条件中约定。</w:t>
      </w:r>
    </w:p>
    <w:p w14:paraId="44943E4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 合同解除</w:t>
      </w:r>
    </w:p>
    <w:p w14:paraId="7272592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6.2.1 委托人与咨询人协商一致，可以解除合同。</w:t>
      </w:r>
    </w:p>
    <w:p w14:paraId="7CA4A95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6.2.2 有下列情形之一的，合同当事人一方或双方可以解除合同：</w:t>
      </w:r>
    </w:p>
    <w:p w14:paraId="3A4C138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（1）咨询人将本合同约定的工程造价咨询服务工作全部或部分转包给他人，委托人可以解除合同；</w:t>
      </w:r>
    </w:p>
    <w:p w14:paraId="1151E61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（2）咨询人提供的造价咨询服务不符合合同约定的要求，经委托人催告仍不能达到合同约定要求的，委托人可以解除合同；</w:t>
      </w:r>
    </w:p>
    <w:p w14:paraId="0549CB6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（3）委托人未按合同约定支付服务酬金，经咨询人催告后，在 28 天内仍未支付的，咨询人可以解除合同；</w:t>
      </w:r>
    </w:p>
    <w:p w14:paraId="5A412E8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（4）因不可抗力致使合同无法履行；</w:t>
      </w:r>
    </w:p>
    <w:p w14:paraId="6B41D31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（5）因一方违约致使合同无法实际履行或实际履行已无必要。</w:t>
      </w:r>
    </w:p>
    <w:p w14:paraId="293F6FB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除上述情形外，双方可以根据委托的服务范围及工作内容，在专用条件中约定解除合同的其他条件。</w:t>
      </w:r>
    </w:p>
    <w:p w14:paraId="23A483D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6.2.3 任何一方提出解除合同的，应提前 30 天书面通知对方。</w:t>
      </w:r>
    </w:p>
    <w:p w14:paraId="0531A6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6.2.4</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因不可抗力导致的合同解除，其损失的分担按照合理分担的原则由合同当事人在专用条件中自行约定。因咨询人自身原因导致的合同解除，按照违约责任处理</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w:t>
      </w:r>
    </w:p>
    <w:p w14:paraId="324000A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6.3 合同终止</w:t>
      </w:r>
    </w:p>
    <w:p w14:paraId="20A1932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除合同解除外，以下条件全部满足时，本合同终止：</w:t>
      </w:r>
    </w:p>
    <w:p w14:paraId="00BAB8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（1）咨询人完成本合同约定的全部工作；</w:t>
      </w:r>
    </w:p>
    <w:p w14:paraId="25EC7B6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（2）委托人与咨询人结清并支付酬金；</w:t>
      </w:r>
    </w:p>
    <w:p w14:paraId="3729D7A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（3）咨询人将委托人提供的资料交还。</w:t>
      </w:r>
    </w:p>
    <w:p w14:paraId="581527B7">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276" w:name="_Toc14170"/>
      <w:bookmarkStart w:id="277" w:name="_Toc28937"/>
      <w:bookmarkStart w:id="278" w:name="_Toc4050"/>
      <w:bookmarkStart w:id="279" w:name="_Toc24129"/>
      <w:bookmarkStart w:id="280" w:name="_Toc1040"/>
      <w:bookmarkStart w:id="281" w:name="_Toc16981"/>
      <w:bookmarkStart w:id="282" w:name="_Toc320291517"/>
      <w:bookmarkStart w:id="283" w:name="_Toc23496"/>
      <w:bookmarkStart w:id="284" w:name="_Toc27957"/>
      <w:bookmarkStart w:id="285" w:name="_Toc14291"/>
      <w:bookmarkStart w:id="286" w:name="_Toc13703"/>
      <w:bookmarkStart w:id="287" w:name="_Toc21391"/>
      <w:bookmarkStart w:id="288" w:name="_Toc24616"/>
      <w:r>
        <w:rPr>
          <w:rFonts w:hint="default" w:ascii="Times New Roman" w:hAnsi="Times New Roman" w:cs="Times New Roman"/>
          <w:color w:val="000000" w:themeColor="text1"/>
          <w:highlight w:val="none"/>
          <w:lang w:val="en-US" w:eastAsia="zh-CN"/>
          <w14:textFill>
            <w14:solidFill>
              <w14:schemeClr w14:val="tx1"/>
            </w14:solidFill>
          </w14:textFill>
        </w:rPr>
        <w:t>7.争议解决</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4C4EB47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7.1 协商</w:t>
      </w:r>
    </w:p>
    <w:p w14:paraId="198148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双方应本着诚实信用的原则协商解决本合同履行过程中发生的争议。</w:t>
      </w:r>
    </w:p>
    <w:p w14:paraId="5E2639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7.2 调解</w:t>
      </w:r>
    </w:p>
    <w:p w14:paraId="68D9263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如果双方不能在 14 日内或双方商定的其他时间内解决本合同争议，可以将其提交给专用条件约定的或事后达成协议的调解人进行调解。</w:t>
      </w:r>
    </w:p>
    <w:p w14:paraId="5B19881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7.3 仲裁或诉讼</w:t>
      </w:r>
    </w:p>
    <w:p w14:paraId="2F0C6A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双方均有权不经调解直接向专用条件约定的仲裁机构申请仲裁或向有管辖权的人民法院提起诉讼。</w:t>
      </w:r>
    </w:p>
    <w:p w14:paraId="3ADDA2AC">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8.其他</w:t>
      </w:r>
    </w:p>
    <w:p w14:paraId="4E8CCA4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8.1 考察及相关费用</w:t>
      </w:r>
    </w:p>
    <w:p w14:paraId="4A2D7E5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除专用条件另有约定外，咨询人经委托人同意进行考察发生的费用由委托人审核后另行支付。差旅费及相关费用的承担由双方在专用条件中约定。</w:t>
      </w:r>
    </w:p>
    <w:p w14:paraId="5C0939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8.2 奖励</w:t>
      </w:r>
    </w:p>
    <w:p w14:paraId="255FE7F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对于咨询人在服务过程中提出合理化建议，使委托人获得效益的，双方在专用条件中约定奖励金额的确定方法。奖励金额在合理化建议被采纳后，与最近一期的正常工作酬金同期支付。</w:t>
      </w:r>
    </w:p>
    <w:p w14:paraId="156FA47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8.3 保密</w:t>
      </w:r>
    </w:p>
    <w:p w14:paraId="36E1518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在本合同履行期间或专用条件约定的期限内，双方不得泄露对方申明的保密资料，亦不得泄露与实施工程有关的第三人所提供的保密资料。保密事项在专用条件中约定。</w:t>
      </w:r>
    </w:p>
    <w:p w14:paraId="0162C2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 联络</w:t>
      </w:r>
    </w:p>
    <w:p w14:paraId="00AA8EF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8.4.1 与合同有关的通知、指示、要求、决定等，均应采用书面形式，并应在专用条件约定的期限内送达接收人和送达地点。</w:t>
      </w:r>
    </w:p>
    <w:p w14:paraId="103A456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8.4.2 委托人和咨询人应在专用条件中约定各自的送达接收人、送达地点、电子邮箱。任何一方指定的接收人或送达地点或电子邮箱发生变动的，应提前 3 天以书面形式通知对方，否则视为未发生变动。</w:t>
      </w:r>
    </w:p>
    <w:p w14:paraId="1F4F2C6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8.4.3 委托人和咨询人应当及时签收另一方送达至送达地点和指定接收人的往来函件，如确有充分证据证明一方无正当理由拒不签收的，视为认可往来函件的内容。</w:t>
      </w:r>
    </w:p>
    <w:p w14:paraId="46C8947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8.5 知识产权</w:t>
      </w:r>
    </w:p>
    <w:p w14:paraId="6C33EEE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2E35F01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3AFEB85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双方保证在履行本合同过程中不侵犯对方及第三方的知识产权。因咨询人侵犯他人知识产权所引起的责任，由咨询人承担；因委托人提供的基础资料导致侵权的，由委托人承担责任。</w:t>
      </w:r>
    </w:p>
    <w:p w14:paraId="1601DB6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除专用条件另有约定外，双方均有权在履行本合同保密义务并且不损害对方利益的情况下，将履行本合同形成的有关成果文件用于企业宣传、申报奖项以及接受上级主管部门的检查。</w:t>
      </w:r>
    </w:p>
    <w:p w14:paraId="773E98D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p>
    <w:p w14:paraId="5BB1CE2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6FCC736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805608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96A2DD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F08F13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1C2D4A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25A038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AC4739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ABBAAD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8B0536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305FAF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C1897D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A851A2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4B5347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A3B7A3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6217A9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46DFB0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79BCDE4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F1C1A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41A1D3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AD7760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EEBAB4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B3FAB6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06AA4AE">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3979C2D">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139FB7E">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1F5160C">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59E4BD2">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13FC4CE">
      <w:pPr>
        <w:rPr>
          <w:rFonts w:hint="default" w:ascii="宋体" w:hAnsi="宋体" w:eastAsia="宋体" w:cs="宋体"/>
          <w:kern w:val="0"/>
          <w:sz w:val="24"/>
          <w:szCs w:val="24"/>
          <w:lang w:val="en-US" w:eastAsia="zh-CN" w:bidi="ar"/>
        </w:rPr>
      </w:pPr>
    </w:p>
    <w:p w14:paraId="4C2E1D3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37C3E6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51673C9">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808FC0B">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0C22E05">
      <w:pPr>
        <w:pStyle w:val="2"/>
        <w:rPr>
          <w:rFonts w:hint="default" w:ascii="Times New Roman" w:hAnsi="Times New Roman" w:cs="Times New Roman"/>
          <w:color w:val="000000" w:themeColor="text1"/>
          <w:highlight w:val="none"/>
          <w:lang w:val="en-US" w:eastAsia="zh-CN"/>
          <w14:textFill>
            <w14:solidFill>
              <w14:schemeClr w14:val="tx1"/>
            </w14:solidFill>
          </w14:textFill>
        </w:rPr>
      </w:pPr>
    </w:p>
    <w:p w14:paraId="60D7D57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FA8ACD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93AC502">
      <w:pPr>
        <w:pStyle w:val="23"/>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p>
    <w:p w14:paraId="60CF6B38">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289" w:name="_Toc27500"/>
      <w:bookmarkStart w:id="290" w:name="_Toc32004"/>
      <w:bookmarkStart w:id="291" w:name="_Toc29560"/>
      <w:bookmarkStart w:id="292" w:name="_Toc30154"/>
      <w:bookmarkStart w:id="293" w:name="_Toc270"/>
      <w:bookmarkStart w:id="294" w:name="_Toc13575"/>
      <w:bookmarkStart w:id="295" w:name="_Toc16759"/>
      <w:bookmarkStart w:id="296" w:name="_Toc16273"/>
      <w:bookmarkStart w:id="297" w:name="_Toc6257"/>
      <w:bookmarkStart w:id="298" w:name="_Toc771"/>
      <w:bookmarkStart w:id="299" w:name="_Toc5687"/>
      <w:bookmarkStart w:id="300" w:name="_Toc11631"/>
      <w:bookmarkStart w:id="301" w:name="_Toc1545506837"/>
      <w:bookmarkStart w:id="302" w:name="_Toc15041"/>
      <w:bookmarkStart w:id="303" w:name="_Toc8503"/>
      <w:r>
        <w:rPr>
          <w:rFonts w:hint="default" w:ascii="Times New Roman" w:hAnsi="Times New Roman" w:cs="Times New Roman"/>
          <w:color w:val="000000" w:themeColor="text1"/>
          <w:sz w:val="30"/>
          <w:szCs w:val="30"/>
          <w:highlight w:val="none"/>
          <w14:textFill>
            <w14:solidFill>
              <w14:schemeClr w14:val="tx1"/>
            </w14:solidFill>
          </w14:textFill>
        </w:rPr>
        <w:t>第三部分　专用条件</w:t>
      </w:r>
      <w:bookmarkEnd w:id="210"/>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Start w:id="304" w:name="45"/>
    </w:p>
    <w:bookmarkEnd w:id="304"/>
    <w:p w14:paraId="7E19ADF6">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05" w:name="_Toc14107"/>
      <w:bookmarkStart w:id="306" w:name="_Toc1518698994"/>
      <w:bookmarkStart w:id="307" w:name="_Toc29771"/>
      <w:bookmarkStart w:id="308" w:name="_Toc9626"/>
      <w:bookmarkStart w:id="309" w:name="_Toc26851"/>
      <w:bookmarkStart w:id="310" w:name="_Toc24584"/>
      <w:bookmarkStart w:id="311" w:name="_Toc13504"/>
      <w:bookmarkStart w:id="312" w:name="_Toc27102"/>
      <w:bookmarkStart w:id="313" w:name="_Toc419045099"/>
      <w:bookmarkStart w:id="314" w:name="_Toc20756"/>
      <w:bookmarkStart w:id="315" w:name="_Toc27854"/>
      <w:bookmarkStart w:id="316" w:name="_Toc504"/>
      <w:bookmarkStart w:id="317" w:name="_Toc16468"/>
      <w:bookmarkStart w:id="318" w:name="_Toc8210"/>
      <w:bookmarkStart w:id="319" w:name="_Toc8263"/>
      <w:bookmarkStart w:id="320" w:name="_Toc8347"/>
      <w:r>
        <w:rPr>
          <w:rFonts w:hint="default" w:ascii="Times New Roman" w:hAnsi="Times New Roman" w:cs="Times New Roman"/>
          <w:color w:val="000000" w:themeColor="text1"/>
          <w:highlight w:val="none"/>
          <w14:textFill>
            <w14:solidFill>
              <w14:schemeClr w14:val="tx1"/>
            </w14:solidFill>
          </w14:textFill>
        </w:rPr>
        <w:t>1.词语定义、语言、解释顺序与适用法律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2930285">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321" w:name="_Toc419045101"/>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语言</w:t>
      </w:r>
      <w:bookmarkEnd w:id="321"/>
    </w:p>
    <w:p w14:paraId="100EE2E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本合同文件除使用中文外，还可用</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5814FB0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合同文件的优先顺序</w:t>
      </w:r>
    </w:p>
    <w:p w14:paraId="1EC17C6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本合同文件的解释顺序为：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（1）协议书及其补充协议;</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中标通知书或中选通知书；（3）投标函或采购响应文件及其附录；</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）专用条件；（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）通用条件；（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技术标准和要求；（7）</w:t>
      </w:r>
      <w:r>
        <w:rPr>
          <w:rFonts w:hint="default" w:ascii="Times New Roman" w:hAnsi="Times New Roman" w:cs="Times New Roman"/>
          <w:color w:val="000000" w:themeColor="text1"/>
          <w:sz w:val="24"/>
          <w:szCs w:val="24"/>
          <w:highlight w:val="none"/>
          <w:u w:val="single"/>
          <w14:textFill>
            <w14:solidFill>
              <w14:schemeClr w14:val="tx1"/>
            </w14:solidFill>
          </w14:textFill>
        </w:rPr>
        <w:t>其他合同文件</w:t>
      </w:r>
      <w:r>
        <w:rPr>
          <w:rFonts w:hint="default" w:ascii="Times New Roman" w:hAnsi="Times New Roman" w:cs="Times New Roman"/>
          <w:color w:val="000000" w:themeColor="text1"/>
          <w:sz w:val="24"/>
          <w:szCs w:val="24"/>
          <w:highlight w:val="none"/>
          <w14:textFill>
            <w14:solidFill>
              <w14:schemeClr w14:val="tx1"/>
            </w14:solidFill>
          </w14:textFill>
        </w:rPr>
        <w:t>。</w:t>
      </w:r>
    </w:p>
    <w:p w14:paraId="78D15185">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bookmarkStart w:id="322" w:name="_Toc419045102"/>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适用法律</w:t>
      </w:r>
      <w:bookmarkEnd w:id="322"/>
    </w:p>
    <w:p w14:paraId="122E2314">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本合同适用的其他规范性文件包括:</w:t>
      </w:r>
      <w:r>
        <w:rPr>
          <w:rFonts w:hint="default" w:ascii="Times New Roman" w:hAnsi="Times New Roman" w:cs="Times New Roman"/>
          <w:color w:val="000000" w:themeColor="text1"/>
          <w:sz w:val="24"/>
          <w:szCs w:val="24"/>
          <w:highlight w:val="none"/>
          <w:u w:val="single"/>
          <w14:textFill>
            <w14:solidFill>
              <w14:schemeClr w14:val="tx1"/>
            </w14:solidFill>
          </w14:textFill>
        </w:rPr>
        <w:t>《建设工程造价询成果文质量标准》CECA-GC7-2012、《建设工程造价鉴定规程》CECA-GC8-2012 及国家和地方现行相关要求。</w:t>
      </w:r>
    </w:p>
    <w:p w14:paraId="250097E7">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23" w:name="_Toc27087"/>
      <w:bookmarkStart w:id="324" w:name="_Toc15587"/>
      <w:bookmarkStart w:id="325" w:name="_Toc31036"/>
      <w:bookmarkStart w:id="326" w:name="_Toc24141"/>
      <w:bookmarkStart w:id="327" w:name="_Toc24926"/>
      <w:bookmarkStart w:id="328" w:name="_Toc18435"/>
      <w:bookmarkStart w:id="329" w:name="_Toc19204"/>
      <w:bookmarkStart w:id="330" w:name="_Toc23210"/>
      <w:bookmarkStart w:id="331" w:name="_Toc16359"/>
      <w:bookmarkStart w:id="332" w:name="_Toc29959"/>
      <w:bookmarkStart w:id="333" w:name="_Toc419045103"/>
      <w:bookmarkStart w:id="334" w:name="_Toc10217"/>
      <w:bookmarkStart w:id="335" w:name="_Toc27567"/>
      <w:bookmarkStart w:id="336" w:name="_Toc10502"/>
      <w:bookmarkStart w:id="337" w:name="_Toc1930847563"/>
      <w:bookmarkStart w:id="338" w:name="_Toc12022"/>
      <w:r>
        <w:rPr>
          <w:rFonts w:hint="default" w:ascii="Times New Roman" w:hAnsi="Times New Roman" w:cs="Times New Roman"/>
          <w:color w:val="000000" w:themeColor="text1"/>
          <w:highlight w:val="none"/>
          <w14:textFill>
            <w14:solidFill>
              <w14:schemeClr w14:val="tx1"/>
            </w14:solidFill>
          </w14:textFill>
        </w:rPr>
        <w:t>2.委托人的义务</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D3821C9">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39" w:name="_Toc419045104"/>
      <w:bookmarkStart w:id="340" w:name="_Toc12770"/>
      <w:r>
        <w:rPr>
          <w:rFonts w:hint="default" w:ascii="Times New Roman" w:hAnsi="Times New Roman" w:cs="Times New Roman"/>
          <w:bCs/>
          <w:color w:val="000000" w:themeColor="text1"/>
          <w:highlight w:val="none"/>
          <w14:textFill>
            <w14:solidFill>
              <w14:schemeClr w14:val="tx1"/>
            </w14:solidFill>
          </w14:textFill>
        </w:rPr>
        <w:t>2.1提供资料</w:t>
      </w:r>
      <w:bookmarkEnd w:id="339"/>
    </w:p>
    <w:bookmarkEnd w:id="340"/>
    <w:p w14:paraId="318F7F7B">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委托人无偿向咨询人提供与本合同咨询业务有关资料的时间为：</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00188FE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41" w:name="_Toc419045105"/>
      <w:bookmarkStart w:id="342" w:name="_Toc1819"/>
      <w:r>
        <w:rPr>
          <w:rFonts w:hint="default" w:ascii="Times New Roman" w:hAnsi="Times New Roman" w:cs="Times New Roman"/>
          <w:color w:val="000000" w:themeColor="text1"/>
          <w:highlight w:val="none"/>
          <w14:textFill>
            <w14:solidFill>
              <w14:schemeClr w14:val="tx1"/>
            </w14:solidFill>
          </w14:textFill>
        </w:rPr>
        <w:t>2.2提供工作条件</w:t>
      </w:r>
      <w:bookmarkEnd w:id="341"/>
    </w:p>
    <w:bookmarkEnd w:id="342"/>
    <w:p w14:paraId="6A9D032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2.2.1项目咨询人员使用由委托人提供的房屋及设备，支付使用费的标准为：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269A1D64">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43" w:name="_Toc419045106"/>
      <w:bookmarkStart w:id="344" w:name="_Toc9763"/>
      <w:r>
        <w:rPr>
          <w:rFonts w:hint="default" w:ascii="Times New Roman" w:hAnsi="Times New Roman" w:cs="Times New Roman"/>
          <w:bCs/>
          <w:color w:val="000000" w:themeColor="text1"/>
          <w:highlight w:val="none"/>
          <w14:textFill>
            <w14:solidFill>
              <w14:schemeClr w14:val="tx1"/>
            </w14:solidFill>
          </w14:textFill>
        </w:rPr>
        <w:t>2.3委托人代表</w:t>
      </w:r>
      <w:bookmarkEnd w:id="343"/>
    </w:p>
    <w:bookmarkEnd w:id="344"/>
    <w:p w14:paraId="7FF40BD1">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委托人代表为：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。其权限范围：</w:t>
      </w:r>
      <w:r>
        <w:rPr>
          <w:rFonts w:hint="default" w:ascii="Times New Roman" w:hAnsi="Times New Roman" w:cs="Times New Roman"/>
          <w:color w:val="000000" w:themeColor="text1"/>
          <w:highlight w:val="none"/>
          <w:u w:val="single"/>
          <w14:textFill>
            <w14:solidFill>
              <w14:schemeClr w14:val="tx1"/>
            </w14:solidFill>
          </w14:textFill>
        </w:rPr>
        <w:t xml:space="preserve">  1.代表委托方对关于本项目工程造价方面与咨询方进行沟通协调工作；2.对咨询方出具的成果文件进行认可并接收  </w:t>
      </w:r>
      <w:r>
        <w:rPr>
          <w:rFonts w:hint="default" w:ascii="Times New Roman" w:hAnsi="Times New Roman" w:cs="Times New Roman"/>
          <w:color w:val="000000" w:themeColor="text1"/>
          <w:highlight w:val="none"/>
          <w14:textFill>
            <w14:solidFill>
              <w14:schemeClr w14:val="tx1"/>
            </w14:solidFill>
          </w14:textFill>
        </w:rPr>
        <w:t>。</w:t>
      </w:r>
    </w:p>
    <w:p w14:paraId="32082E8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2.4答复</w:t>
      </w:r>
    </w:p>
    <w:p w14:paraId="3334D08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委托人同意在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日内，对咨询人书面提交并要求做出决定的事宜给予书面答复。逾期未答复的，视为委托人认可。</w:t>
      </w:r>
    </w:p>
    <w:p w14:paraId="69E2FCC6">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45" w:name="_Toc1321"/>
      <w:bookmarkStart w:id="346" w:name="_Toc30315"/>
      <w:bookmarkStart w:id="347" w:name="_Toc20721"/>
      <w:bookmarkStart w:id="348" w:name="_Toc419045107"/>
      <w:bookmarkStart w:id="349" w:name="_Toc10903"/>
      <w:bookmarkStart w:id="350" w:name="_Toc2243"/>
      <w:bookmarkStart w:id="351" w:name="_Toc16470"/>
      <w:bookmarkStart w:id="352" w:name="_Toc5478"/>
      <w:bookmarkStart w:id="353" w:name="_Toc14776"/>
      <w:bookmarkStart w:id="354" w:name="_Toc19559"/>
      <w:bookmarkStart w:id="355" w:name="_Toc11729"/>
      <w:bookmarkStart w:id="356" w:name="_Toc2459"/>
      <w:bookmarkStart w:id="357" w:name="_Toc1129601524"/>
      <w:bookmarkStart w:id="358" w:name="_Toc19706"/>
      <w:bookmarkStart w:id="359" w:name="_Toc27598"/>
      <w:bookmarkStart w:id="360" w:name="_Toc11448"/>
      <w:r>
        <w:rPr>
          <w:rFonts w:hint="default" w:ascii="Times New Roman" w:hAnsi="Times New Roman" w:cs="Times New Roman"/>
          <w:color w:val="000000" w:themeColor="text1"/>
          <w:highlight w:val="none"/>
          <w14:textFill>
            <w14:solidFill>
              <w14:schemeClr w14:val="tx1"/>
            </w14:solidFill>
          </w14:textFill>
        </w:rPr>
        <w:t>3.咨询人的义务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2FE8CF3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61" w:name="_Toc419045109"/>
      <w:r>
        <w:rPr>
          <w:rFonts w:hint="default" w:ascii="Times New Roman" w:hAnsi="Times New Roman" w:cs="Times New Roman"/>
          <w:color w:val="000000" w:themeColor="text1"/>
          <w:highlight w:val="none"/>
          <w14:textFill>
            <w14:solidFill>
              <w14:schemeClr w14:val="tx1"/>
            </w14:solidFill>
          </w14:textFill>
        </w:rPr>
        <w:t>3.1项目咨询团队及人员</w:t>
      </w:r>
      <w:bookmarkEnd w:id="361"/>
    </w:p>
    <w:p w14:paraId="0FF5579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3.1.1项目咨询团队的主要人员应具有</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相关法律法规规定的</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资格条件，团队人员的数量为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人</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附人员清单</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5D09162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3.1.2</w:t>
      </w:r>
      <w:r>
        <w:rPr>
          <w:rFonts w:hint="default" w:ascii="Times New Roman" w:hAnsi="Times New Roman" w:cs="Times New Roman"/>
          <w:color w:val="000000" w:themeColor="text1"/>
          <w:highlight w:val="none"/>
          <w:lang w:val="en-US" w:eastAsia="zh-CN"/>
          <w14:textFill>
            <w14:solidFill>
              <w14:schemeClr w14:val="tx1"/>
            </w14:solidFill>
          </w14:textFill>
        </w:rPr>
        <w:t>咨询人更换项目负责人的约定：</w:t>
      </w:r>
      <w:r>
        <w:rPr>
          <w:rFonts w:hint="default" w:ascii="Times New Roman" w:hAnsi="Times New Roman" w:cs="Times New Roman"/>
          <w:color w:val="000000" w:themeColor="text1"/>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highlight w:val="none"/>
          <w14:textFill>
            <w14:solidFill>
              <w14:schemeClr w14:val="tx1"/>
            </w14:solidFill>
          </w14:textFill>
        </w:rPr>
        <w:t>项目负责人为：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。项目负责人为履行本合同的权限为：</w:t>
      </w:r>
      <w:r>
        <w:rPr>
          <w:rFonts w:hint="default" w:ascii="Times New Roman" w:hAnsi="Times New Roman" w:cs="Times New Roman"/>
          <w:color w:val="000000" w:themeColor="text1"/>
          <w:highlight w:val="none"/>
          <w:u w:val="single"/>
          <w14:textFill>
            <w14:solidFill>
              <w14:schemeClr w14:val="tx1"/>
            </w14:solidFill>
          </w14:textFill>
        </w:rPr>
        <w:t xml:space="preserve">  负责本造价咨询项目的实施 </w:t>
      </w:r>
      <w:r>
        <w:rPr>
          <w:rFonts w:hint="default" w:ascii="Times New Roman" w:hAnsi="Times New Roman" w:cs="Times New Roman"/>
          <w:color w:val="000000" w:themeColor="text1"/>
          <w:highlight w:val="none"/>
          <w:u w:val="single"/>
          <w:lang w:val="en-US" w:eastAsia="zh-CN"/>
          <w14:textFill>
            <w14:solidFill>
              <w14:schemeClr w14:val="tx1"/>
            </w14:solidFill>
          </w14:textFill>
        </w:rPr>
        <w:t>包括参加现场踏勘、工程量核对、审核过程中的协调会等重要工作</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2271C3C">
      <w:pPr>
        <w:pStyle w:val="23"/>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14:paraId="7AFC9EE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w:t>
      </w:r>
      <w:r>
        <w:rPr>
          <w:rFonts w:hint="eastAsia" w:ascii="Times New Roman" w:hAnsi="Times New Roman" w:cs="Times New Roman"/>
          <w:color w:val="000000" w:themeColor="text1"/>
          <w:highlight w:val="none"/>
          <w:u w:val="single"/>
          <w:lang w:val="en-US" w:eastAsia="zh-CN"/>
          <w14:textFill>
            <w14:solidFill>
              <w14:schemeClr w14:val="tx1"/>
            </w14:solidFill>
          </w14:textFill>
        </w:rPr>
        <w:t>在5日内</w:t>
      </w:r>
      <w:r>
        <w:rPr>
          <w:rFonts w:hint="default" w:ascii="Times New Roman" w:hAnsi="Times New Roman" w:cs="Times New Roman"/>
          <w:color w:val="000000" w:themeColor="text1"/>
          <w:highlight w:val="none"/>
          <w:u w:val="single"/>
          <w:lang w:val="en-US" w:eastAsia="zh-CN"/>
          <w14:textFill>
            <w14:solidFill>
              <w14:schemeClr w14:val="tx1"/>
            </w14:solidFill>
          </w14:textFill>
        </w:rPr>
        <w:t>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14:paraId="15FA2C9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62" w:name="_Toc419045110"/>
      <w:r>
        <w:rPr>
          <w:rFonts w:hint="default" w:ascii="Times New Roman" w:hAnsi="Times New Roman" w:cs="Times New Roman"/>
          <w:color w:val="000000" w:themeColor="text1"/>
          <w:highlight w:val="none"/>
          <w14:textFill>
            <w14:solidFill>
              <w14:schemeClr w14:val="tx1"/>
            </w14:solidFill>
          </w14:textFill>
        </w:rPr>
        <w:t>3.2咨询</w:t>
      </w:r>
      <w:bookmarkStart w:id="363" w:name="OLE_LINK12"/>
      <w:r>
        <w:rPr>
          <w:rFonts w:hint="default" w:ascii="Times New Roman" w:hAnsi="Times New Roman" w:cs="Times New Roman"/>
          <w:color w:val="000000" w:themeColor="text1"/>
          <w:highlight w:val="none"/>
          <w14:textFill>
            <w14:solidFill>
              <w14:schemeClr w14:val="tx1"/>
            </w14:solidFill>
          </w14:textFill>
        </w:rPr>
        <w:t>人的工作要求</w:t>
      </w:r>
      <w:bookmarkEnd w:id="362"/>
      <w:bookmarkEnd w:id="363"/>
    </w:p>
    <w:p w14:paraId="7F25EB1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。咨询人向委托人提供的资料还包括：</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w:t>
      </w:r>
    </w:p>
    <w:p w14:paraId="6FD72CAC">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3.2.2咨询人向委托人提供咨询成果文件的名称、组成、时间、份数及质量标准：</w:t>
      </w:r>
      <w:r>
        <w:rPr>
          <w:rFonts w:hint="default" w:ascii="Times New Roman" w:hAnsi="Times New Roman" w:cs="Times New Roman"/>
          <w:color w:val="000000" w:themeColor="text1"/>
          <w:highlight w:val="none"/>
          <w:u w:val="single"/>
          <w14:textFill>
            <w14:solidFill>
              <w14:schemeClr w14:val="tx1"/>
            </w14:solidFill>
          </w14:textFill>
        </w:rPr>
        <w:t xml:space="preserve">    按照协议书和专用条件补充条款约定    </w:t>
      </w:r>
      <w:r>
        <w:rPr>
          <w:rFonts w:hint="default" w:ascii="Times New Roman" w:hAnsi="Times New Roman" w:cs="Times New Roman"/>
          <w:color w:val="000000" w:themeColor="text1"/>
          <w:highlight w:val="none"/>
          <w14:textFill>
            <w14:solidFill>
              <w14:schemeClr w14:val="tx1"/>
            </w14:solidFill>
          </w14:textFill>
        </w:rPr>
        <w:t>。</w:t>
      </w:r>
    </w:p>
    <w:p w14:paraId="54A6423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咨询人应在收到委托人以书面形式提出的建议或者异议后</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eastAsia" w:ascii="Times New Roman" w:hAnsi="Times New Roman" w:cs="Times New Roman"/>
          <w:color w:val="000000" w:themeColor="text1"/>
          <w:highlight w:val="none"/>
          <w:u w:val="single"/>
          <w:lang w:val="en-US" w:eastAsia="zh-CN"/>
          <w14:textFill>
            <w14:solidFill>
              <w14:schemeClr w14:val="tx1"/>
            </w14:solidFill>
          </w14:textFill>
        </w:rPr>
        <w:t>个</w:t>
      </w:r>
      <w:r>
        <w:rPr>
          <w:rFonts w:hint="eastAsia" w:ascii="Times New Roman" w:hAnsi="Times New Roman" w:cs="Times New Roman"/>
          <w:color w:val="000000" w:themeColor="text1"/>
          <w:highlight w:val="none"/>
          <w:u w:val="none"/>
          <w:lang w:val="en-US" w:eastAsia="zh-CN"/>
          <w14:textFill>
            <w14:solidFill>
              <w14:schemeClr w14:val="tx1"/>
            </w14:solidFill>
          </w14:textFill>
        </w:rPr>
        <w:t>工作</w:t>
      </w:r>
      <w:r>
        <w:rPr>
          <w:rFonts w:hint="default" w:ascii="Times New Roman" w:hAnsi="Times New Roman" w:cs="Times New Roman"/>
          <w:color w:val="000000" w:themeColor="text1"/>
          <w:highlight w:val="none"/>
          <w:u w:val="none"/>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日内给予书面答复。</w:t>
      </w:r>
    </w:p>
    <w:p w14:paraId="1AB47AB5">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64" w:name="_Toc419045111"/>
      <w:r>
        <w:rPr>
          <w:rFonts w:hint="default" w:ascii="Times New Roman" w:hAnsi="Times New Roman" w:cs="Times New Roman"/>
          <w:color w:val="000000" w:themeColor="text1"/>
          <w:highlight w:val="none"/>
          <w14:textFill>
            <w14:solidFill>
              <w14:schemeClr w14:val="tx1"/>
            </w14:solidFill>
          </w14:textFill>
        </w:rPr>
        <w:t>3.3咨询人的工作依据</w:t>
      </w:r>
      <w:bookmarkEnd w:id="364"/>
    </w:p>
    <w:p w14:paraId="445AFC12">
      <w:pPr>
        <w:adjustRightInd w:val="0"/>
        <w:spacing w:line="560" w:lineRule="exact"/>
        <w:ind w:firstLine="480" w:firstLineChars="200"/>
        <w:jc w:val="both"/>
        <w:rPr>
          <w:rFonts w:ascii="Times New Roman" w:hAnsi="Times New Roman" w:cs="Times New Roman"/>
          <w:bCs/>
          <w:color w:val="000000" w:themeColor="text1"/>
          <w:kern w:val="28"/>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经双方协商，本合同约定的造价咨询服务适用的技术标准、规范、定额等工作依据为：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bCs/>
          <w:color w:val="000000" w:themeColor="text1"/>
          <w:kern w:val="28"/>
          <w:highlight w:val="none"/>
          <w:u w:val="single"/>
          <w14:textFill>
            <w14:solidFill>
              <w14:schemeClr w14:val="tx1"/>
            </w14:solidFill>
          </w14:textFill>
        </w:rPr>
        <w:t>《建设工程工程量清单计价规范》（GB50500-2013）、</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施工合同约定的</w:t>
      </w:r>
      <w:r>
        <w:rPr>
          <w:rFonts w:hint="default" w:ascii="Times New Roman" w:hAnsi="Times New Roman" w:cs="Times New Roman"/>
          <w:bCs/>
          <w:color w:val="000000" w:themeColor="text1"/>
          <w:kern w:val="28"/>
          <w:highlight w:val="none"/>
          <w:u w:val="single"/>
          <w14:textFill>
            <w14:solidFill>
              <w14:schemeClr w14:val="tx1"/>
            </w14:solidFill>
          </w14:textFill>
        </w:rPr>
        <w:t>《四川省建设工程工程量清单计价定额》及</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对应</w:t>
      </w:r>
      <w:r>
        <w:rPr>
          <w:rFonts w:hint="default" w:ascii="Times New Roman" w:hAnsi="Times New Roman" w:cs="Times New Roman"/>
          <w:bCs/>
          <w:color w:val="000000" w:themeColor="text1"/>
          <w:kern w:val="28"/>
          <w:highlight w:val="none"/>
          <w:u w:val="single"/>
          <w14:textFill>
            <w14:solidFill>
              <w14:schemeClr w14:val="tx1"/>
            </w14:solidFill>
          </w14:textFill>
        </w:rPr>
        <w:t xml:space="preserve">的相关配套文件 </w:t>
      </w:r>
      <w:r>
        <w:rPr>
          <w:rFonts w:hint="default" w:ascii="Times New Roman" w:hAnsi="Times New Roman" w:cs="Times New Roman"/>
          <w:bCs/>
          <w:color w:val="000000" w:themeColor="text1"/>
          <w:kern w:val="28"/>
          <w:highlight w:val="none"/>
          <w14:textFill>
            <w14:solidFill>
              <w14:schemeClr w14:val="tx1"/>
            </w14:solidFill>
          </w14:textFill>
        </w:rPr>
        <w:t>。</w:t>
      </w:r>
    </w:p>
    <w:p w14:paraId="76B64C0E">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bookmarkStart w:id="365" w:name="_Toc419045112"/>
      <w:r>
        <w:rPr>
          <w:rFonts w:hint="default" w:ascii="Times New Roman" w:hAnsi="Times New Roman" w:cs="Times New Roman"/>
          <w:color w:val="000000" w:themeColor="text1"/>
          <w:highlight w:val="none"/>
          <w14:textFill>
            <w14:solidFill>
              <w14:schemeClr w14:val="tx1"/>
            </w14:solidFill>
          </w14:textFill>
        </w:rPr>
        <w:t>3.4使用委托人房屋及设备的返还</w:t>
      </w:r>
      <w:bookmarkEnd w:id="365"/>
    </w:p>
    <w:p w14:paraId="2735158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咨询人应在本合同终止后</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日内移交委托人提供的房屋及设备，移交的方式为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649106E8">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66" w:name="_Toc25801"/>
      <w:bookmarkStart w:id="367" w:name="_Toc2258"/>
      <w:bookmarkStart w:id="368" w:name="_Toc419045113"/>
      <w:bookmarkStart w:id="369" w:name="_Toc32416"/>
      <w:bookmarkStart w:id="370" w:name="_Toc27399"/>
      <w:bookmarkStart w:id="371" w:name="_Toc12933"/>
      <w:bookmarkStart w:id="372" w:name="_Toc21579"/>
      <w:bookmarkStart w:id="373" w:name="_Toc2066"/>
      <w:bookmarkStart w:id="374" w:name="_Toc12159"/>
      <w:bookmarkStart w:id="375" w:name="_Toc28811"/>
      <w:bookmarkStart w:id="376" w:name="_Toc14130"/>
      <w:bookmarkStart w:id="377" w:name="_Toc13313"/>
      <w:bookmarkStart w:id="378" w:name="_Toc19003"/>
      <w:bookmarkStart w:id="379" w:name="_Toc1457374388"/>
      <w:bookmarkStart w:id="380" w:name="_Toc15592"/>
      <w:bookmarkStart w:id="381" w:name="_Toc28979"/>
      <w:r>
        <w:rPr>
          <w:rFonts w:hint="default" w:ascii="Times New Roman" w:hAnsi="Times New Roman" w:cs="Times New Roman"/>
          <w:color w:val="000000" w:themeColor="text1"/>
          <w:highlight w:val="none"/>
          <w14:textFill>
            <w14:solidFill>
              <w14:schemeClr w14:val="tx1"/>
            </w14:solidFill>
          </w14:textFill>
        </w:rPr>
        <w:t>4.违约责任</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74254FA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4.1委托人的违约责任</w:t>
      </w:r>
    </w:p>
    <w:p w14:paraId="34C7951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4.1.1委托人违约金的计算及支付方法：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57095CB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4.1.2委托人赔偿金额按下列方法确定并支付：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7095107E">
      <w:pPr>
        <w:adjustRightInd w:val="0"/>
        <w:spacing w:line="560" w:lineRule="exact"/>
        <w:ind w:firstLine="480" w:firstLineChars="200"/>
        <w:jc w:val="both"/>
      </w:pPr>
      <w:r>
        <w:rPr>
          <w:rFonts w:hint="default" w:ascii="Times New Roman" w:hAnsi="Times New Roman" w:cs="Times New Roman"/>
          <w:color w:val="000000" w:themeColor="text1"/>
          <w:highlight w:val="none"/>
          <w14:textFill>
            <w14:solidFill>
              <w14:schemeClr w14:val="tx1"/>
            </w14:solidFill>
          </w14:textFill>
        </w:rPr>
        <w:t>4.1.3 委托人逾期付款利息按下列方法计算并支付：</w:t>
      </w:r>
      <w:r>
        <w:rPr>
          <w:rFonts w:ascii="Times New Roman" w:hAnsi="Times New Roman" w:cs="Times New Roman"/>
          <w:color w:val="000000" w:themeColor="text1"/>
          <w:sz w:val="24"/>
          <w:szCs w:val="24"/>
          <w:highlight w:val="none"/>
          <w:u w:val="single"/>
          <w14:textFill>
            <w14:solidFill>
              <w14:schemeClr w14:val="tx1"/>
            </w14:solidFill>
          </w14:textFill>
        </w:rPr>
        <w:t>在咨询成果质量、进度等方面不存在问题及争议的情况下，且咨询人未有任何违约行为，</w:t>
      </w:r>
      <w:r>
        <w:rPr>
          <w:rFonts w:hint="default" w:ascii="Times New Roman" w:hAnsi="Times New Roman" w:cs="Times New Roman"/>
          <w:color w:val="000000" w:themeColor="text1"/>
          <w:sz w:val="24"/>
          <w:szCs w:val="24"/>
          <w:highlight w:val="none"/>
          <w:u w:val="single"/>
          <w14:textFill>
            <w14:solidFill>
              <w14:schemeClr w14:val="tx1"/>
            </w14:solidFill>
          </w14:textFill>
        </w:rPr>
        <w:t>委托人</w:t>
      </w:r>
      <w:r>
        <w:rPr>
          <w:rFonts w:ascii="Times New Roman" w:hAnsi="Times New Roman" w:cs="Times New Roman"/>
          <w:color w:val="000000" w:themeColor="text1"/>
          <w:sz w:val="24"/>
          <w:szCs w:val="24"/>
          <w:highlight w:val="none"/>
          <w:u w:val="single"/>
          <w14:textFill>
            <w14:solidFill>
              <w14:schemeClr w14:val="tx1"/>
            </w14:solidFill>
          </w14:textFill>
        </w:rPr>
        <w:t>应按本合同规定的金额和日期向咨询人支付咨询服务费，</w:t>
      </w:r>
      <w:r>
        <w:rPr>
          <w:rFonts w:hint="default" w:ascii="Times New Roman" w:hAnsi="Times New Roman" w:cs="Times New Roman"/>
          <w:color w:val="000000" w:themeColor="text1"/>
          <w:sz w:val="24"/>
          <w:szCs w:val="24"/>
          <w:highlight w:val="none"/>
          <w14:textFill>
            <w14:solidFill>
              <w14:schemeClr w14:val="tx1"/>
            </w14:solidFill>
          </w14:textFill>
        </w:rPr>
        <w:t>委托人未能按期支付酬金超过14天，应按下列方法计算并支付逾期付款利息。逾期付款利息=当期应付款</w:t>
      </w:r>
      <w:r>
        <w:rPr>
          <w:rFonts w:hint="eastAsia" w:ascii="Times New Roman" w:hAnsi="Times New Roman" w:cs="Times New Roman"/>
          <w:color w:val="000000" w:themeColor="text1"/>
          <w:sz w:val="24"/>
          <w:szCs w:val="24"/>
          <w:highlight w:val="none"/>
          <w:lang w:eastAsia="zh-CN"/>
          <w14:textFill>
            <w14:solidFill>
              <w14:schemeClr w14:val="tx1"/>
            </w14:solidFill>
          </w14:textFill>
        </w:rPr>
        <w:t>本金</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中国人民银行授权全国银行间同业拆借中心公布的1年期LPR</w:t>
      </w:r>
      <w:r>
        <w:rPr>
          <w:rFonts w:hint="default" w:ascii="Times New Roman" w:hAnsi="Times New Roman" w:cs="Times New Roman"/>
          <w:color w:val="000000" w:themeColor="text1"/>
          <w:sz w:val="24"/>
          <w:szCs w:val="24"/>
          <w:highlight w:val="none"/>
          <w14:textFill>
            <w14:solidFill>
              <w14:schemeClr w14:val="tx1"/>
            </w14:solidFill>
          </w14:textFill>
        </w:rPr>
        <w:t>×逾期支付天数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/360</w:t>
      </w:r>
      <w:r>
        <w:rPr>
          <w:rFonts w:hint="default" w:ascii="Times New Roman" w:hAnsi="Times New Roman" w:cs="Times New Roman"/>
          <w:color w:val="000000" w:themeColor="text1"/>
          <w:sz w:val="24"/>
          <w:szCs w:val="24"/>
          <w:highlight w:val="none"/>
          <w14:textFill>
            <w14:solidFill>
              <w14:schemeClr w14:val="tx1"/>
            </w14:solidFill>
          </w14:textFill>
        </w:rPr>
        <w:t>（自逾期之日起计算）</w:t>
      </w:r>
      <w:r>
        <w:rPr>
          <w:rFonts w:hint="default" w:ascii="Times New Roman" w:hAnsi="Times New Roman" w:cs="Times New Roman"/>
          <w:color w:val="000000" w:themeColor="text1"/>
          <w:sz w:val="24"/>
          <w:szCs w:val="24"/>
          <w:highlight w:val="none"/>
          <w:lang w:eastAsia="zh-CN"/>
          <w14:textFill>
            <w14:solidFill>
              <w14:schemeClr w14:val="tx1"/>
            </w14:solidFill>
          </w14:textFill>
        </w:rPr>
        <w:t>，逾期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付款利息</w:t>
      </w:r>
      <w:r>
        <w:rPr>
          <w:rFonts w:hint="default" w:ascii="Times New Roman" w:hAnsi="Times New Roman" w:cs="Times New Roman"/>
          <w:color w:val="000000" w:themeColor="text1"/>
          <w:sz w:val="24"/>
          <w:szCs w:val="24"/>
          <w:highlight w:val="none"/>
          <w:lang w:eastAsia="zh-CN"/>
          <w14:textFill>
            <w14:solidFill>
              <w14:schemeClr w14:val="tx1"/>
            </w14:solidFill>
          </w14:textFill>
        </w:rPr>
        <w:t>累计不超过逾期未支付金额的千分之五</w:t>
      </w:r>
      <w:r>
        <w:rPr>
          <w:rFonts w:hint="default" w:ascii="Times New Roman" w:hAnsi="Times New Roman" w:cs="Times New Roman"/>
          <w:color w:val="000000" w:themeColor="text1"/>
          <w:highlight w:val="none"/>
          <w14:textFill>
            <w14:solidFill>
              <w14:schemeClr w14:val="tx1"/>
            </w14:solidFill>
          </w14:textFill>
        </w:rPr>
        <w:t>。</w:t>
      </w:r>
    </w:p>
    <w:p w14:paraId="5E0B1DA4">
      <w:pPr>
        <w:pStyle w:val="5"/>
        <w:spacing w:line="560" w:lineRule="exact"/>
        <w:ind w:firstLine="480" w:firstLineChars="200"/>
        <w:rPr>
          <w:rFonts w:hint="eastAsia"/>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4.1.4</w:t>
      </w:r>
      <w:r>
        <w:rPr>
          <w:rFonts w:hint="eastAsia"/>
        </w:rPr>
        <w:t xml:space="preserve">因下列原因导致逾期付款的，委托人不承担违约责任：  </w:t>
      </w:r>
    </w:p>
    <w:p w14:paraId="260E3E96">
      <w:pPr>
        <w:pStyle w:val="5"/>
        <w:spacing w:line="560" w:lineRule="exact"/>
        <w:ind w:firstLine="480" w:firstLineChars="200"/>
        <w:rPr>
          <w:rFonts w:hint="default" w:ascii="Times New Roman" w:hAnsi="Times New Roman" w:cs="Times New Roman"/>
        </w:rPr>
      </w:pPr>
      <w:r>
        <w:rPr>
          <w:rFonts w:hint="default" w:ascii="Times New Roman" w:hAnsi="Times New Roman" w:cs="Times New Roman"/>
          <w:lang w:val="en-US" w:eastAsia="zh-CN"/>
        </w:rPr>
        <w:t>4.1.4.1</w:t>
      </w:r>
      <w:r>
        <w:rPr>
          <w:rFonts w:hint="default" w:ascii="Times New Roman" w:hAnsi="Times New Roman" w:cs="Times New Roman"/>
        </w:rPr>
        <w:t xml:space="preserve">咨询方未提供符合要求的付款申请材料或合法有效发票；  </w:t>
      </w:r>
    </w:p>
    <w:p w14:paraId="1078A351">
      <w:pPr>
        <w:pStyle w:val="5"/>
        <w:spacing w:line="560" w:lineRule="exact"/>
        <w:ind w:firstLine="480" w:firstLineChars="200"/>
        <w:rPr>
          <w:rFonts w:hint="default" w:ascii="Times New Roman" w:hAnsi="Times New Roman" w:cs="Times New Roman"/>
        </w:rPr>
      </w:pPr>
      <w:r>
        <w:rPr>
          <w:rFonts w:hint="default" w:ascii="Times New Roman" w:hAnsi="Times New Roman" w:cs="Times New Roman"/>
          <w:lang w:val="en-US" w:eastAsia="zh-CN"/>
        </w:rPr>
        <w:t>4.1.4.2</w:t>
      </w:r>
      <w:r>
        <w:rPr>
          <w:rFonts w:hint="default" w:ascii="Times New Roman" w:hAnsi="Times New Roman" w:cs="Times New Roman"/>
        </w:rPr>
        <w:t xml:space="preserve">不可抗力或政府行为导致付款延迟；  </w:t>
      </w:r>
    </w:p>
    <w:p w14:paraId="5A197A73">
      <w:pPr>
        <w:pStyle w:val="5"/>
        <w:spacing w:line="560" w:lineRule="exact"/>
        <w:ind w:firstLine="48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4.1.4.3</w:t>
      </w:r>
      <w:r>
        <w:rPr>
          <w:rFonts w:hint="default" w:ascii="Times New Roman" w:hAnsi="Times New Roman" w:cs="Times New Roman"/>
        </w:rPr>
        <w:t xml:space="preserve">双方书面协商一致的付款计划调整。 </w:t>
      </w:r>
    </w:p>
    <w:p w14:paraId="095BBA71">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82" w:name="_Toc419045114"/>
      <w:r>
        <w:rPr>
          <w:rFonts w:hint="default" w:ascii="Times New Roman" w:hAnsi="Times New Roman" w:cs="Times New Roman"/>
          <w:color w:val="000000" w:themeColor="text1"/>
          <w:highlight w:val="none"/>
          <w14:textFill>
            <w14:solidFill>
              <w14:schemeClr w14:val="tx1"/>
            </w14:solidFill>
          </w14:textFill>
        </w:rPr>
        <w:t>4.2咨询人的违约责任</w:t>
      </w:r>
    </w:p>
    <w:bookmarkEnd w:id="382"/>
    <w:p w14:paraId="7C97D5B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4.2.1 咨询人违约金的计算及支付方法：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按</w:t>
      </w:r>
      <w:bookmarkStart w:id="383" w:name="OLE_LINK20"/>
      <w:bookmarkStart w:id="384" w:name="OLE_LINK21"/>
      <w:r>
        <w:rPr>
          <w:rFonts w:hint="default" w:ascii="Times New Roman" w:hAnsi="Times New Roman" w:cs="Times New Roman"/>
          <w:color w:val="000000" w:themeColor="text1"/>
          <w:highlight w:val="none"/>
          <w:u w:val="single"/>
          <w14:textFill>
            <w14:solidFill>
              <w14:schemeClr w14:val="tx1"/>
            </w14:solidFill>
          </w14:textFill>
        </w:rPr>
        <w:t>照</w:t>
      </w:r>
      <w:bookmarkEnd w:id="383"/>
      <w:bookmarkEnd w:id="384"/>
      <w:r>
        <w:rPr>
          <w:rFonts w:hint="default" w:ascii="Times New Roman" w:hAnsi="Times New Roman" w:cs="Times New Roman"/>
          <w:color w:val="000000" w:themeColor="text1"/>
          <w:highlight w:val="none"/>
          <w:u w:val="single"/>
          <w14:textFill>
            <w14:solidFill>
              <w14:schemeClr w14:val="tx1"/>
            </w14:solidFill>
          </w14:textFill>
        </w:rPr>
        <w:t xml:space="preserve">补充条款约定   </w:t>
      </w:r>
      <w:r>
        <w:rPr>
          <w:rFonts w:hint="default" w:ascii="Times New Roman" w:hAnsi="Times New Roman" w:cs="Times New Roman"/>
          <w:color w:val="000000" w:themeColor="text1"/>
          <w:highlight w:val="none"/>
          <w14:textFill>
            <w14:solidFill>
              <w14:schemeClr w14:val="tx1"/>
            </w14:solidFill>
          </w14:textFill>
        </w:rPr>
        <w:t>。</w:t>
      </w:r>
    </w:p>
    <w:p w14:paraId="43CAF351">
      <w:pPr>
        <w:adjustRightInd w:val="0"/>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4.2.2 咨询人赔偿金额按下列方法确定并支付：</w:t>
      </w:r>
    </w:p>
    <w:p w14:paraId="62FDDAB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咨询人违约而给委托人造成损失的，按照损失金额的100%给予委托人赔偿</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u w:val="none"/>
          <w:lang w:eastAsia="zh-CN"/>
          <w14:textFill>
            <w14:solidFill>
              <w14:schemeClr w14:val="tx1"/>
            </w14:solidFill>
          </w14:textFill>
        </w:rPr>
        <w:t>（</w:t>
      </w:r>
      <w:r>
        <w:rPr>
          <w:rFonts w:hint="eastAsia"/>
        </w:rPr>
        <w:t>损失的范围包括但不限于直接损失和间接损失，以及为维护合法权益支出的律师费、诉讼费、鉴定费、保全费等</w:t>
      </w:r>
      <w:r>
        <w:rPr>
          <w:rFonts w:hint="eastAsia"/>
          <w:lang w:eastAsia="zh-CN"/>
        </w:rPr>
        <w:t>）。</w:t>
      </w:r>
    </w:p>
    <w:p w14:paraId="7D466CF0">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85" w:name="_Toc419045115"/>
      <w:bookmarkStart w:id="386" w:name="_Toc18656"/>
      <w:bookmarkStart w:id="387" w:name="_Toc2040345081"/>
      <w:bookmarkStart w:id="388" w:name="_Toc21012"/>
      <w:bookmarkStart w:id="389" w:name="_Toc3357"/>
      <w:bookmarkStart w:id="390" w:name="_Toc10962"/>
      <w:bookmarkStart w:id="391" w:name="_Toc3900"/>
      <w:bookmarkStart w:id="392" w:name="_Toc26613"/>
      <w:bookmarkStart w:id="393" w:name="_Toc21778"/>
      <w:bookmarkStart w:id="394" w:name="_Toc19557"/>
      <w:bookmarkStart w:id="395" w:name="_Toc5874"/>
      <w:bookmarkStart w:id="396" w:name="_Toc3951"/>
      <w:bookmarkStart w:id="397" w:name="_Toc2799"/>
      <w:bookmarkStart w:id="398" w:name="_Toc19370"/>
      <w:bookmarkStart w:id="399" w:name="_Toc18427"/>
      <w:bookmarkStart w:id="400" w:name="_Toc23062"/>
      <w:r>
        <w:rPr>
          <w:rFonts w:hint="default" w:ascii="Times New Roman" w:hAnsi="Times New Roman" w:cs="Times New Roman"/>
          <w:color w:val="000000" w:themeColor="text1"/>
          <w:highlight w:val="none"/>
          <w14:textFill>
            <w14:solidFill>
              <w14:schemeClr w14:val="tx1"/>
            </w14:solidFill>
          </w14:textFill>
        </w:rPr>
        <w:t>5.支付</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4173A0E6">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401" w:name="_Toc419045116"/>
      <w:bookmarkStart w:id="402" w:name="_Toc6271"/>
      <w:r>
        <w:rPr>
          <w:rFonts w:hint="default" w:ascii="Times New Roman" w:hAnsi="Times New Roman" w:cs="Times New Roman"/>
          <w:bCs/>
          <w:color w:val="000000" w:themeColor="text1"/>
          <w:highlight w:val="none"/>
          <w14:textFill>
            <w14:solidFill>
              <w14:schemeClr w14:val="tx1"/>
            </w14:solidFill>
          </w14:textFill>
        </w:rPr>
        <w:t>5.1支付货币</w:t>
      </w:r>
      <w:bookmarkEnd w:id="401"/>
    </w:p>
    <w:bookmarkEnd w:id="402"/>
    <w:p w14:paraId="5A3288E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币种为：</w:t>
      </w:r>
      <w:r>
        <w:rPr>
          <w:rFonts w:hint="default" w:ascii="Times New Roman" w:hAnsi="Times New Roman" w:cs="Times New Roman"/>
          <w:color w:val="000000" w:themeColor="text1"/>
          <w:highlight w:val="none"/>
          <w:u w:val="single"/>
          <w14:textFill>
            <w14:solidFill>
              <w14:schemeClr w14:val="tx1"/>
            </w14:solidFill>
          </w14:textFill>
        </w:rPr>
        <w:t xml:space="preserve">  人民币  </w:t>
      </w:r>
      <w:r>
        <w:rPr>
          <w:rFonts w:hint="default" w:ascii="Times New Roman" w:hAnsi="Times New Roman" w:cs="Times New Roman"/>
          <w:color w:val="000000" w:themeColor="text1"/>
          <w:highlight w:val="none"/>
          <w14:textFill>
            <w14:solidFill>
              <w14:schemeClr w14:val="tx1"/>
            </w14:solidFill>
          </w14:textFill>
        </w:rPr>
        <w:t>，汇率为：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，其他约定：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2298858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03" w:name="_Toc419045117"/>
      <w:bookmarkStart w:id="404" w:name="_Toc28139"/>
      <w:r>
        <w:rPr>
          <w:rFonts w:hint="default" w:ascii="Times New Roman" w:hAnsi="Times New Roman" w:cs="Times New Roman"/>
          <w:color w:val="000000" w:themeColor="text1"/>
          <w:highlight w:val="none"/>
          <w14:textFill>
            <w14:solidFill>
              <w14:schemeClr w14:val="tx1"/>
            </w14:solidFill>
          </w14:textFill>
        </w:rPr>
        <w:t>5.2 支付申请</w:t>
      </w:r>
      <w:bookmarkEnd w:id="403"/>
    </w:p>
    <w:bookmarkEnd w:id="404"/>
    <w:p w14:paraId="5F15889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咨询人应在本合同约定的每次应付款日期</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eastAsia" w:ascii="Times New Roman" w:hAnsi="Times New Roman" w:cs="Times New Roman"/>
          <w:color w:val="000000" w:themeColor="text1"/>
          <w:highlight w:val="none"/>
          <w:u w:val="none"/>
          <w:lang w:eastAsia="zh-CN"/>
          <w14:textFill>
            <w14:solidFill>
              <w14:schemeClr w14:val="tx1"/>
            </w14:solidFill>
          </w14:textFill>
        </w:rPr>
        <w:t>工作</w:t>
      </w:r>
      <w:r>
        <w:rPr>
          <w:rFonts w:hint="default" w:ascii="Times New Roman" w:hAnsi="Times New Roman" w:cs="Times New Roman"/>
          <w:color w:val="000000" w:themeColor="text1"/>
          <w:highlight w:val="none"/>
          <w14:textFill>
            <w14:solidFill>
              <w14:schemeClr w14:val="tx1"/>
            </w14:solidFill>
          </w14:textFill>
        </w:rPr>
        <w:t>日前，向委托人提交支付申请书。</w:t>
      </w:r>
    </w:p>
    <w:p w14:paraId="4E438BAA">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405" w:name="_Toc419045118"/>
      <w:bookmarkStart w:id="406" w:name="_Toc2079"/>
      <w:r>
        <w:rPr>
          <w:rFonts w:hint="default" w:ascii="Times New Roman" w:hAnsi="Times New Roman" w:cs="Times New Roman"/>
          <w:bCs/>
          <w:color w:val="000000" w:themeColor="text1"/>
          <w:highlight w:val="none"/>
          <w14:textFill>
            <w14:solidFill>
              <w14:schemeClr w14:val="tx1"/>
            </w14:solidFill>
          </w14:textFill>
        </w:rPr>
        <w:t>5.3支付酬金</w:t>
      </w:r>
      <w:bookmarkEnd w:id="405"/>
    </w:p>
    <w:bookmarkEnd w:id="406"/>
    <w:p w14:paraId="0BDDBAE4">
      <w:pPr>
        <w:adjustRightInd w:val="0"/>
        <w:spacing w:line="560" w:lineRule="exact"/>
        <w:ind w:firstLine="482" w:firstLineChars="200"/>
        <w:jc w:val="both"/>
        <w:rPr>
          <w:rFonts w:ascii="Times New Roman" w:hAnsi="Times New Roman" w:cs="Times New Roman"/>
        </w:rPr>
      </w:pP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委</w:t>
      </w:r>
      <w:r>
        <w:rPr>
          <w:rFonts w:hint="default" w:ascii="Times New Roman" w:hAnsi="Times New Roman" w:cs="Times New Roman"/>
          <w:b/>
          <w:bCs/>
          <w:color w:val="000000" w:themeColor="text1"/>
          <w:highlight w:val="none"/>
          <w:u w:val="single"/>
          <w:lang w:eastAsia="zh-CN"/>
          <w14:textFill>
            <w14:solidFill>
              <w14:schemeClr w14:val="tx1"/>
            </w14:solidFill>
          </w14:textFill>
        </w:rPr>
        <w:t>托人</w:t>
      </w:r>
      <w:r>
        <w:rPr>
          <w:rFonts w:hint="default" w:ascii="Times New Roman" w:hAnsi="Times New Roman" w:cs="Times New Roman"/>
          <w:b/>
          <w:bCs/>
          <w:color w:val="000000" w:themeColor="text1"/>
          <w:highlight w:val="none"/>
          <w:u w:val="single"/>
          <w14:textFill>
            <w14:solidFill>
              <w14:schemeClr w14:val="tx1"/>
            </w14:solidFill>
          </w14:textFill>
        </w:rPr>
        <w:t>收到造价咨询报告、</w:t>
      </w:r>
      <w:r>
        <w:rPr>
          <w:rFonts w:hint="eastAsia" w:ascii="Times New Roman" w:hAnsi="Times New Roman" w:cs="Times New Roman"/>
          <w:b/>
          <w:bCs/>
          <w:color w:val="000000" w:themeColor="text1"/>
          <w:highlight w:val="none"/>
          <w:u w:val="single"/>
          <w:lang w:val="en-US" w:eastAsia="zh-CN"/>
          <w14:textFill>
            <w14:solidFill>
              <w14:schemeClr w14:val="tx1"/>
            </w14:solidFill>
          </w14:textFill>
        </w:rPr>
        <w:t>各方确认的</w:t>
      </w:r>
      <w:r>
        <w:rPr>
          <w:rFonts w:hint="default" w:ascii="Times New Roman" w:hAnsi="Times New Roman" w:cs="Times New Roman"/>
          <w:b/>
          <w:bCs/>
          <w:color w:val="000000" w:themeColor="text1"/>
          <w:highlight w:val="none"/>
          <w:u w:val="single"/>
          <w14:textFill>
            <w14:solidFill>
              <w14:schemeClr w14:val="tx1"/>
            </w14:solidFill>
          </w14:textFill>
        </w:rPr>
        <w:t>定案表等咨询成果文件</w:t>
      </w: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及咨询人提交的请款报告、与审核服务酬金等额的增值税专用发票后，按照合同要求向咨询人支付审核服务酬金。</w:t>
      </w:r>
    </w:p>
    <w:p w14:paraId="77BCB0C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07" w:name="_Toc27932"/>
      <w:bookmarkStart w:id="408" w:name="_Toc20838"/>
      <w:bookmarkStart w:id="409" w:name="_Toc1422"/>
      <w:bookmarkStart w:id="410" w:name="_Toc17543"/>
      <w:bookmarkStart w:id="411" w:name="_Toc1253"/>
      <w:bookmarkStart w:id="412" w:name="_Toc6755"/>
      <w:bookmarkStart w:id="413" w:name="_Toc20106"/>
      <w:bookmarkStart w:id="414" w:name="_Toc14327"/>
      <w:bookmarkStart w:id="415" w:name="_Toc1060901071"/>
      <w:bookmarkStart w:id="416" w:name="_Toc9290"/>
      <w:bookmarkStart w:id="417" w:name="_Toc26439"/>
      <w:bookmarkStart w:id="418" w:name="_Toc11320"/>
      <w:bookmarkStart w:id="419" w:name="_Toc16281"/>
      <w:bookmarkStart w:id="420" w:name="_Toc23267"/>
      <w:bookmarkStart w:id="421" w:name="_Toc419045119"/>
      <w:bookmarkStart w:id="422" w:name="_Toc12298"/>
      <w:r>
        <w:rPr>
          <w:rFonts w:hint="default" w:ascii="Times New Roman" w:hAnsi="Times New Roman" w:cs="Times New Roman"/>
          <w:color w:val="000000" w:themeColor="text1"/>
          <w:highlight w:val="none"/>
          <w14:textFill>
            <w14:solidFill>
              <w14:schemeClr w14:val="tx1"/>
            </w14:solidFill>
          </w14:textFill>
        </w:rPr>
        <w:t>6.合同变更、解除与终止</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206F0C6F">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423" w:name="_Toc419045120"/>
      <w:bookmarkStart w:id="424" w:name="_Toc17126"/>
      <w:r>
        <w:rPr>
          <w:rFonts w:hint="default" w:ascii="Times New Roman" w:hAnsi="Times New Roman" w:cs="Times New Roman"/>
          <w:color w:val="000000" w:themeColor="text1"/>
          <w:highlight w:val="none"/>
          <w14:textFill>
            <w14:solidFill>
              <w14:schemeClr w14:val="tx1"/>
            </w14:solidFill>
          </w14:textFill>
        </w:rPr>
        <w:t>6.1合同变更</w:t>
      </w:r>
      <w:bookmarkEnd w:id="423"/>
      <w:bookmarkEnd w:id="424"/>
    </w:p>
    <w:p w14:paraId="5FD2F732">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除不可抗力外，因非咨询人原因导致本合同履行期限延长、内容增加时，附加工作酬金按下列方法确定：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12D42216">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因工程规模、服务范围及内容的变化等导致咨询人的工作量增减时，服务酬金的调整方法：</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4BB124E5">
      <w:pPr>
        <w:adjustRightInd w:val="0"/>
        <w:spacing w:line="560" w:lineRule="exact"/>
        <w:ind w:firstLine="480" w:firstLineChars="200"/>
        <w:jc w:val="both"/>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6.2合同</w:t>
      </w:r>
      <w:r>
        <w:rPr>
          <w:rFonts w:hint="eastAsia" w:ascii="Times New Roman" w:hAnsi="Times New Roman" w:cs="Times New Roman"/>
          <w:color w:val="000000" w:themeColor="text1"/>
          <w:highlight w:val="none"/>
          <w:lang w:val="en-US" w:eastAsia="zh-CN"/>
          <w14:textFill>
            <w14:solidFill>
              <w14:schemeClr w14:val="tx1"/>
            </w14:solidFill>
          </w14:textFill>
        </w:rPr>
        <w:t>的终止和</w:t>
      </w:r>
      <w:r>
        <w:rPr>
          <w:rFonts w:hint="default" w:ascii="Times New Roman" w:hAnsi="Times New Roman" w:cs="Times New Roman"/>
          <w:color w:val="000000" w:themeColor="text1"/>
          <w:highlight w:val="none"/>
          <w:lang w:val="en-US"/>
          <w14:textFill>
            <w14:solidFill>
              <w14:schemeClr w14:val="tx1"/>
            </w14:solidFill>
          </w14:textFill>
        </w:rPr>
        <w:t>解除</w:t>
      </w:r>
    </w:p>
    <w:p w14:paraId="30ABCEB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合同约定的服务内容结束，双方均履行完毕合同义务时，本合同自动</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终止</w:t>
      </w:r>
      <w:r>
        <w:rPr>
          <w:rFonts w:hint="default" w:ascii="Times New Roman" w:hAnsi="Times New Roman" w:cs="Times New Roman"/>
          <w:color w:val="000000" w:themeColor="text1"/>
          <w:sz w:val="24"/>
          <w:szCs w:val="24"/>
          <w:highlight w:val="none"/>
          <w14:textFill>
            <w14:solidFill>
              <w14:schemeClr w14:val="tx1"/>
            </w14:solidFill>
          </w14:textFill>
        </w:rPr>
        <w:t>。</w:t>
      </w:r>
    </w:p>
    <w:p w14:paraId="7AEB3EEE">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14:paraId="25575289">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①</w:t>
      </w:r>
      <w:r>
        <w:rPr>
          <w:rFonts w:ascii="Times New Roman" w:hAnsi="Times New Roman" w:cs="Times New Roman"/>
          <w:color w:val="000000" w:themeColor="text1"/>
          <w:sz w:val="24"/>
          <w:szCs w:val="24"/>
          <w:highlight w:val="none"/>
          <w:u w:val="single"/>
          <w14:textFill>
            <w14:solidFill>
              <w14:schemeClr w14:val="tx1"/>
            </w14:solidFill>
          </w14:textFill>
        </w:rPr>
        <w:t>咨询人未按期完成咨询工作，延误超过10天的，委托人有权解除合同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299FE20C">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②</w:t>
      </w:r>
      <w:r>
        <w:rPr>
          <w:rFonts w:ascii="Times New Roman" w:hAnsi="Times New Roman" w:cs="Times New Roman"/>
          <w:color w:val="000000" w:themeColor="text1"/>
          <w:sz w:val="24"/>
          <w:szCs w:val="24"/>
          <w:highlight w:val="none"/>
          <w:u w:val="single"/>
          <w14:textFill>
            <w14:solidFill>
              <w14:schemeClr w14:val="tx1"/>
            </w14:solidFill>
          </w14:textFill>
        </w:rPr>
        <w:t>咨询人将本合同约定的竣工结算审核及咨询服务工作全部或部分转包、出借资质给他人的，委托人有权解除合同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3385D98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③</w:t>
      </w:r>
      <w:r>
        <w:rPr>
          <w:rFonts w:ascii="Times New Roman" w:hAnsi="Times New Roman" w:cs="Times New Roman"/>
          <w:color w:val="000000" w:themeColor="text1"/>
          <w:sz w:val="24"/>
          <w:szCs w:val="24"/>
          <w:highlight w:val="none"/>
          <w:u w:val="single"/>
          <w14:textFill>
            <w14:solidFill>
              <w14:schemeClr w14:val="tx1"/>
            </w14:solidFill>
          </w14:textFill>
        </w:rPr>
        <w:t>咨询人擅自更换</w:t>
      </w:r>
      <w:r>
        <w:rPr>
          <w:rFonts w:hint="default" w:ascii="Times New Roman" w:hAnsi="Times New Roman" w:cs="Times New Roman"/>
          <w:color w:val="000000" w:themeColor="text1"/>
          <w:sz w:val="24"/>
          <w:szCs w:val="24"/>
          <w:highlight w:val="none"/>
          <w:u w:val="single"/>
          <w14:textFill>
            <w14:solidFill>
              <w14:schemeClr w14:val="tx1"/>
            </w14:solidFill>
          </w14:textFill>
        </w:rPr>
        <w:t>项目负责人</w:t>
      </w:r>
      <w:r>
        <w:rPr>
          <w:rFonts w:ascii="Times New Roman" w:hAnsi="Times New Roman" w:cs="Times New Roman"/>
          <w:color w:val="000000" w:themeColor="text1"/>
          <w:sz w:val="24"/>
          <w:szCs w:val="24"/>
          <w:highlight w:val="none"/>
          <w:u w:val="single"/>
          <w14:textFill>
            <w14:solidFill>
              <w14:schemeClr w14:val="tx1"/>
            </w14:solidFill>
          </w14:textFill>
        </w:rPr>
        <w:t>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011BB98B">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④咨询人应当提供该项目的计算底稿、组价文档、审核工作底稿等相关资料（含电子文档），并配合</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复审</w:t>
      </w:r>
      <w:r>
        <w:rPr>
          <w:rFonts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14:textFill>
            <w14:solidFill>
              <w14:schemeClr w14:val="tx1"/>
            </w14:solidFill>
          </w14:textFill>
        </w:rPr>
        <w:t>否则</w:t>
      </w:r>
      <w:r>
        <w:rPr>
          <w:rFonts w:ascii="Times New Roman" w:hAnsi="Times New Roman" w:cs="Times New Roman"/>
          <w:color w:val="000000" w:themeColor="text1"/>
          <w:sz w:val="24"/>
          <w:szCs w:val="24"/>
          <w:highlight w:val="none"/>
          <w:u w:val="single"/>
          <w14:textFill>
            <w14:solidFill>
              <w14:schemeClr w14:val="tx1"/>
            </w14:solidFill>
          </w14:textFill>
        </w:rPr>
        <w:t>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72E1BE16">
      <w:pPr>
        <w:adjustRightInd w:val="0"/>
        <w:spacing w:line="560" w:lineRule="exact"/>
        <w:ind w:firstLine="480" w:firstLineChars="200"/>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singl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p>
    <w:p w14:paraId="7842E0CD">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⑥存在上述解除合同情形的，委托人有权不支付酬金。</w:t>
      </w:r>
    </w:p>
    <w:p w14:paraId="0D92921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因不可抗力导致的合同解除，双方约定损失的分担如下：</w:t>
      </w:r>
      <w:r>
        <w:rPr>
          <w:rFonts w:hint="default" w:ascii="Times New Roman" w:hAnsi="Times New Roman" w:cs="Times New Roman"/>
          <w:color w:val="000000" w:themeColor="text1"/>
          <w:highlight w:val="none"/>
          <w:u w:val="single"/>
          <w:lang w:val="en-US" w:eastAsia="zh-CN"/>
          <w14:textFill>
            <w14:solidFill>
              <w14:schemeClr w14:val="tx1"/>
            </w14:solidFill>
          </w14:textFill>
        </w:rPr>
        <w:t>各自承担自身损失</w:t>
      </w:r>
      <w:r>
        <w:rPr>
          <w:rFonts w:hint="default" w:ascii="Times New Roman" w:hAnsi="Times New Roman" w:cs="Times New Roman"/>
          <w:color w:val="000000" w:themeColor="text1"/>
          <w:highlight w:val="none"/>
          <w14:textFill>
            <w14:solidFill>
              <w14:schemeClr w14:val="tx1"/>
            </w14:solidFill>
          </w14:textFill>
        </w:rPr>
        <w:t>。</w:t>
      </w:r>
    </w:p>
    <w:p w14:paraId="37639F26">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25" w:name="_Toc7579256"/>
      <w:bookmarkStart w:id="426" w:name="_Toc274"/>
      <w:bookmarkStart w:id="427" w:name="_Toc7403"/>
      <w:bookmarkStart w:id="428" w:name="_Toc810"/>
      <w:bookmarkStart w:id="429" w:name="_Toc354"/>
      <w:bookmarkStart w:id="430" w:name="_Toc10366"/>
      <w:bookmarkStart w:id="431" w:name="_Toc419045121"/>
      <w:bookmarkStart w:id="432" w:name="_Toc1923"/>
      <w:bookmarkStart w:id="433" w:name="_Toc5281"/>
      <w:bookmarkStart w:id="434" w:name="_Toc4114"/>
      <w:bookmarkStart w:id="435" w:name="_Toc12975"/>
      <w:bookmarkStart w:id="436" w:name="_Toc5268"/>
      <w:bookmarkStart w:id="437" w:name="_Toc24550"/>
      <w:bookmarkStart w:id="438" w:name="_Toc23226"/>
      <w:bookmarkStart w:id="439" w:name="_Toc19160"/>
      <w:bookmarkStart w:id="440" w:name="_Toc25674"/>
      <w:r>
        <w:rPr>
          <w:rFonts w:hint="default" w:ascii="Times New Roman" w:hAnsi="Times New Roman" w:cs="Times New Roman"/>
          <w:color w:val="000000" w:themeColor="text1"/>
          <w:highlight w:val="none"/>
          <w14:textFill>
            <w14:solidFill>
              <w14:schemeClr w14:val="tx1"/>
            </w14:solidFill>
          </w14:textFill>
        </w:rPr>
        <w:t>7.争议解决</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05092E5">
      <w:pPr>
        <w:adjustRightInd w:val="0"/>
        <w:spacing w:line="560" w:lineRule="exact"/>
        <w:ind w:firstLine="480" w:firstLineChars="200"/>
        <w:jc w:val="both"/>
        <w:rPr>
          <w:rFonts w:hint="default" w:ascii="Times New Roman" w:hAnsi="Times New Roman" w:cs="Times New Roman"/>
          <w:bCs/>
          <w:color w:val="000000" w:themeColor="text1"/>
          <w:highlight w:val="none"/>
          <w14:textFill>
            <w14:solidFill>
              <w14:schemeClr w14:val="tx1"/>
            </w14:solidFill>
          </w14:textFill>
        </w:rPr>
      </w:pPr>
      <w:bookmarkStart w:id="441" w:name="_Toc26586"/>
      <w:bookmarkStart w:id="442" w:name="_Toc419045122"/>
      <w:r>
        <w:rPr>
          <w:rFonts w:hint="default" w:ascii="Times New Roman" w:hAnsi="Times New Roman" w:cs="Times New Roman"/>
          <w:bCs/>
          <w:color w:val="000000" w:themeColor="text1"/>
          <w:highlight w:val="none"/>
          <w14:textFill>
            <w14:solidFill>
              <w14:schemeClr w14:val="tx1"/>
            </w14:solidFill>
          </w14:textFill>
        </w:rPr>
        <w:t>7.1调解</w:t>
      </w:r>
      <w:bookmarkEnd w:id="441"/>
      <w:bookmarkEnd w:id="442"/>
    </w:p>
    <w:p w14:paraId="39421A5C">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如果双方不能在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日内解决本合同争议，可以将其提交</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进行调解。</w:t>
      </w:r>
    </w:p>
    <w:p w14:paraId="36A5C0A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7.2仲裁或诉讼</w:t>
      </w:r>
    </w:p>
    <w:p w14:paraId="4CC316CD">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合同争议的最终解决方式为下列第</w:t>
      </w:r>
      <w:r>
        <w:rPr>
          <w:rFonts w:hint="default" w:ascii="Times New Roman" w:hAnsi="Times New Roman" w:cs="Times New Roman"/>
          <w:color w:val="000000" w:themeColor="text1"/>
          <w:highlight w:val="none"/>
          <w:u w:val="single"/>
          <w14:textFill>
            <w14:solidFill>
              <w14:schemeClr w14:val="tx1"/>
            </w14:solidFill>
          </w14:textFill>
        </w:rPr>
        <w:t xml:space="preserve">  （2）  </w:t>
      </w:r>
      <w:r>
        <w:rPr>
          <w:rFonts w:hint="default" w:ascii="Times New Roman" w:hAnsi="Times New Roman" w:cs="Times New Roman"/>
          <w:color w:val="000000" w:themeColor="text1"/>
          <w:highlight w:val="none"/>
          <w14:textFill>
            <w14:solidFill>
              <w14:schemeClr w14:val="tx1"/>
            </w14:solidFill>
          </w14:textFill>
        </w:rPr>
        <w:t>种方式：</w:t>
      </w:r>
    </w:p>
    <w:p w14:paraId="333FA1AA">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（1）提请</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仲裁委员会进行仲裁。</w:t>
      </w:r>
    </w:p>
    <w:p w14:paraId="692A335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（2）向</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工程</w:t>
      </w:r>
      <w:r>
        <w:rPr>
          <w:rFonts w:hint="default" w:ascii="Times New Roman" w:hAnsi="Times New Roman" w:cs="Times New Roman"/>
          <w:color w:val="000000" w:themeColor="text1"/>
          <w:highlight w:val="none"/>
          <w:u w:val="single"/>
          <w14:textFill>
            <w14:solidFill>
              <w14:schemeClr w14:val="tx1"/>
            </w14:solidFill>
          </w14:textFill>
        </w:rPr>
        <w:t xml:space="preserve">项目所在地    </w:t>
      </w:r>
      <w:r>
        <w:rPr>
          <w:rFonts w:hint="default" w:ascii="Times New Roman" w:hAnsi="Times New Roman" w:cs="Times New Roman"/>
          <w:color w:val="000000" w:themeColor="text1"/>
          <w:highlight w:val="none"/>
          <w14:textFill>
            <w14:solidFill>
              <w14:schemeClr w14:val="tx1"/>
            </w14:solidFill>
          </w14:textFill>
        </w:rPr>
        <w:t>人民法院提起诉讼。</w:t>
      </w:r>
    </w:p>
    <w:p w14:paraId="44419955">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43" w:name="_Toc19713"/>
      <w:bookmarkStart w:id="444" w:name="_Toc25025"/>
      <w:bookmarkStart w:id="445" w:name="_Toc5411"/>
      <w:bookmarkStart w:id="446" w:name="_Toc419045123"/>
      <w:bookmarkStart w:id="447" w:name="_Toc1527"/>
      <w:bookmarkStart w:id="448" w:name="_Toc21524"/>
      <w:bookmarkStart w:id="449" w:name="_Toc3225"/>
      <w:bookmarkStart w:id="450" w:name="_Toc13301"/>
      <w:bookmarkStart w:id="451" w:name="_Toc683020419"/>
      <w:bookmarkStart w:id="452" w:name="_Toc22432"/>
      <w:bookmarkStart w:id="453" w:name="_Toc9191"/>
      <w:bookmarkStart w:id="454" w:name="_Toc2331"/>
      <w:bookmarkStart w:id="455" w:name="_Toc30560"/>
      <w:bookmarkStart w:id="456" w:name="_Toc979"/>
      <w:bookmarkStart w:id="457" w:name="_Toc24599"/>
      <w:bookmarkStart w:id="458" w:name="_Toc25797"/>
      <w:r>
        <w:rPr>
          <w:rFonts w:hint="default" w:ascii="Times New Roman" w:hAnsi="Times New Roman" w:cs="Times New Roman"/>
          <w:color w:val="000000" w:themeColor="text1"/>
          <w:highlight w:val="none"/>
          <w14:textFill>
            <w14:solidFill>
              <w14:schemeClr w14:val="tx1"/>
            </w14:solidFill>
          </w14:textFill>
        </w:rPr>
        <w:t>8.其他</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568D670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8.1考察及相关费用</w:t>
      </w:r>
    </w:p>
    <w:p w14:paraId="2C06F118">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咨询人经委托人同意进行考察发生的费用由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支付。差旅费及相关费用的支付：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2B43AFB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8.2奖励</w:t>
      </w:r>
    </w:p>
    <w:p w14:paraId="68C002BA">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合理化建议的奖励金额按下列方法确定：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56747B3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8.3保密</w:t>
      </w:r>
    </w:p>
    <w:p w14:paraId="13433FFA">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color w:val="000000" w:themeColor="text1"/>
          <w:highlight w:val="none"/>
          <w14:textFill>
            <w14:solidFill>
              <w14:schemeClr w14:val="tx1"/>
            </w14:solidFill>
          </w14:textFill>
        </w:rPr>
        <w:t>。</w:t>
      </w:r>
    </w:p>
    <w:p w14:paraId="7390A59C">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11A659D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第三人申明的保密事项和期限：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1BB364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59" w:name="_Toc24663"/>
      <w:r>
        <w:rPr>
          <w:rFonts w:hint="default" w:ascii="Times New Roman" w:hAnsi="Times New Roman" w:cs="Times New Roman"/>
          <w:bCs/>
          <w:color w:val="000000" w:themeColor="text1"/>
          <w:highlight w:val="none"/>
          <w14:textFill>
            <w14:solidFill>
              <w14:schemeClr w14:val="tx1"/>
            </w14:solidFill>
          </w14:textFill>
        </w:rPr>
        <w:t>8.4联络</w:t>
      </w:r>
      <w:bookmarkEnd w:id="459"/>
    </w:p>
    <w:p w14:paraId="6943C42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8.4.1任何一方与合同有关的通知、指示、要求、决定等，均应在</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eastAsia" w:ascii="Times New Roman" w:hAnsi="Times New Roman" w:cs="Times New Roman"/>
          <w:color w:val="000000" w:themeColor="text1"/>
          <w:highlight w:val="none"/>
          <w:u w:val="none"/>
          <w:lang w:eastAsia="zh-CN"/>
          <w14:textFill>
            <w14:solidFill>
              <w14:schemeClr w14:val="tx1"/>
            </w14:solidFill>
          </w14:textFill>
        </w:rPr>
        <w:t>个工作</w:t>
      </w:r>
      <w:r>
        <w:rPr>
          <w:rFonts w:hint="default" w:ascii="Times New Roman" w:hAnsi="Times New Roman" w:cs="Times New Roman"/>
          <w:color w:val="000000" w:themeColor="text1"/>
          <w:highlight w:val="none"/>
          <w14:textFill>
            <w14:solidFill>
              <w14:schemeClr w14:val="tx1"/>
            </w14:solidFill>
          </w14:textFill>
        </w:rPr>
        <w:t>日内送达对方指定的接收人和送达地点。</w:t>
      </w:r>
    </w:p>
    <w:p w14:paraId="6AB9D03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8.4.2委托人指定的送达接收人：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，电子邮箱：_</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_。</w:t>
      </w:r>
    </w:p>
    <w:p w14:paraId="1A7EB00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59AFE13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60" w:name="_Toc419045124"/>
      <w:bookmarkStart w:id="461" w:name="_Toc28975"/>
      <w:r>
        <w:rPr>
          <w:rFonts w:hint="default" w:ascii="Times New Roman" w:hAnsi="Times New Roman" w:cs="Times New Roman"/>
          <w:color w:val="000000" w:themeColor="text1"/>
          <w:highlight w:val="none"/>
          <w14:textFill>
            <w14:solidFill>
              <w14:schemeClr w14:val="tx1"/>
            </w14:solidFill>
          </w14:textFill>
        </w:rPr>
        <w:t>8.5知识产权</w:t>
      </w:r>
      <w:bookmarkEnd w:id="460"/>
    </w:p>
    <w:bookmarkEnd w:id="461"/>
    <w:p w14:paraId="442CFE2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委托人提供给咨询人的图纸、委托人为实施工程自行编制或委托编制的技术规范以及反映委托人要求的或其他类似性质文件的著作权属于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委托人  </w:t>
      </w:r>
      <w:r>
        <w:rPr>
          <w:rFonts w:hint="default" w:ascii="Times New Roman" w:hAnsi="Times New Roman" w:cs="Times New Roman"/>
          <w:color w:val="000000" w:themeColor="text1"/>
          <w:highlight w:val="none"/>
          <w14:textFill>
            <w14:solidFill>
              <w14:schemeClr w14:val="tx1"/>
            </w14:solidFill>
          </w14:textFill>
        </w:rPr>
        <w:t>。</w:t>
      </w:r>
    </w:p>
    <w:p w14:paraId="05E29D3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咨询人为履行本合同约定而编制的成果文件，其著作权属于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咨询人  </w:t>
      </w:r>
      <w:r>
        <w:rPr>
          <w:rFonts w:hint="default" w:ascii="Times New Roman" w:hAnsi="Times New Roman" w:cs="Times New Roman"/>
          <w:color w:val="000000" w:themeColor="text1"/>
          <w:highlight w:val="none"/>
          <w14:textFill>
            <w14:solidFill>
              <w14:schemeClr w14:val="tx1"/>
            </w14:solidFill>
          </w14:textFill>
        </w:rPr>
        <w:t>。</w:t>
      </w:r>
    </w:p>
    <w:p w14:paraId="5B3A8990">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双方将履行本合同形成的有关成果文件用于企业宣传、申报奖项以及接受上级主管部门的检查须遵守以下约定：</w:t>
      </w:r>
      <w:bookmarkStart w:id="462" w:name="_Toc419045125"/>
      <w:r>
        <w:rPr>
          <w:rFonts w:hint="default" w:ascii="Times New Roman" w:hAnsi="Times New Roman" w:cs="Times New Roman"/>
          <w:color w:val="000000" w:themeColor="text1"/>
          <w:highlight w:val="none"/>
          <w:u w:val="single"/>
          <w14:textFill>
            <w14:solidFill>
              <w14:schemeClr w14:val="tx1"/>
            </w14:solidFill>
          </w14:textFill>
        </w:rPr>
        <w:t xml:space="preserve">  不得损害对方利益的原则  </w:t>
      </w:r>
      <w:r>
        <w:rPr>
          <w:rFonts w:hint="default" w:ascii="Times New Roman" w:hAnsi="Times New Roman" w:cs="Times New Roman"/>
          <w:color w:val="000000" w:themeColor="text1"/>
          <w:highlight w:val="none"/>
          <w14:textFill>
            <w14:solidFill>
              <w14:schemeClr w14:val="tx1"/>
            </w14:solidFill>
          </w14:textFill>
        </w:rPr>
        <w:t>。</w:t>
      </w:r>
    </w:p>
    <w:p w14:paraId="0C37320D">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63" w:name="_Toc4296"/>
      <w:bookmarkStart w:id="464" w:name="_Toc2746"/>
      <w:bookmarkStart w:id="465" w:name="_Toc2520"/>
      <w:bookmarkStart w:id="466" w:name="_Toc23517"/>
      <w:bookmarkStart w:id="467" w:name="_Toc8087"/>
      <w:bookmarkStart w:id="468" w:name="_Toc11716"/>
      <w:bookmarkStart w:id="469" w:name="_Toc1224088918"/>
      <w:bookmarkStart w:id="470" w:name="_Toc25713"/>
      <w:bookmarkStart w:id="471" w:name="_Toc5505"/>
      <w:bookmarkStart w:id="472" w:name="_Toc6633"/>
      <w:bookmarkStart w:id="473" w:name="_Toc20402"/>
      <w:bookmarkStart w:id="474" w:name="_Toc10274"/>
      <w:bookmarkStart w:id="475" w:name="_Toc13264"/>
      <w:bookmarkStart w:id="476" w:name="_Toc6612"/>
      <w:bookmarkStart w:id="477" w:name="_Toc26784"/>
      <w:r>
        <w:rPr>
          <w:rFonts w:hint="default" w:ascii="Times New Roman" w:hAnsi="Times New Roman" w:cs="Times New Roman"/>
          <w:color w:val="000000" w:themeColor="text1"/>
          <w:highlight w:val="none"/>
          <w14:textFill>
            <w14:solidFill>
              <w14:schemeClr w14:val="tx1"/>
            </w14:solidFill>
          </w14:textFill>
        </w:rPr>
        <w:t>9.补充条款</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3B4F6A1C">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审核报告</w:t>
      </w:r>
      <w:r>
        <w:rPr>
          <w:rFonts w:hint="default" w:ascii="Times New Roman" w:hAnsi="Times New Roman" w:cs="Times New Roman"/>
          <w:color w:val="000000" w:themeColor="text1"/>
          <w:sz w:val="24"/>
          <w:szCs w:val="24"/>
          <w:highlight w:val="none"/>
          <w14:textFill>
            <w14:solidFill>
              <w14:schemeClr w14:val="tx1"/>
            </w14:solidFill>
          </w14:textFill>
        </w:rPr>
        <w:t>要求</w:t>
      </w:r>
    </w:p>
    <w:p w14:paraId="6F5C0242">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.1咨询人应在工程结算审计复核意见书签章确认后 10 个工作日内向委托人出具正式的复核报告一式四份</w:t>
      </w:r>
      <w:r>
        <w:rPr>
          <w:rFonts w:hint="default" w:ascii="Times New Roman" w:hAnsi="Times New Roman" w:cs="Times New Roman"/>
          <w:bCs/>
          <w:color w:val="000000" w:themeColor="text1"/>
          <w:sz w:val="24"/>
          <w:szCs w:val="24"/>
          <w:highlight w:val="none"/>
          <w14:textFill>
            <w14:solidFill>
              <w14:schemeClr w14:val="tx1"/>
            </w14:solidFill>
          </w14:textFill>
        </w:rPr>
        <w:t>。</w:t>
      </w:r>
    </w:p>
    <w:p w14:paraId="20FD91E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2咨询人审核报告除具备行业要求的基本格式内容外，还应包括：建设规模、建筑结构等工程概况、项目建设程序、工程开竣工时间、工程招标控制价及中标金额、合同金额和相应的时间等基本概况；勘察、设计、施工、监理单位；审增、审减的主要事项及金额；存在的问题及其他需要披露的事项。</w:t>
      </w:r>
    </w:p>
    <w:p w14:paraId="7AB5623C">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szCs w:val="24"/>
          <w:highlight w:val="none"/>
          <w14:textFill>
            <w14:solidFill>
              <w14:schemeClr w14:val="tx1"/>
            </w14:solidFill>
          </w14:textFill>
        </w:rPr>
        <w:t>.3</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报告应当包括以下主要附件资料：1）《工程结算审计复核意见书》；（2）《审计复核流程表》；（3）审定结算书；（4）审计协调会会议记录及咨询记录、现场查勘记录；（5）四川省施工企业工程规费取费证复印件；（6）安全文明费计取的相关文件资料复印件；（7）其他附件资料</w:t>
      </w:r>
      <w:r>
        <w:rPr>
          <w:rFonts w:ascii="Times New Roman" w:hAnsi="Times New Roman" w:cs="Times New Roman"/>
          <w:color w:val="000000" w:themeColor="text1"/>
          <w:sz w:val="24"/>
          <w:szCs w:val="24"/>
          <w:highlight w:val="none"/>
          <w14:textFill>
            <w14:solidFill>
              <w14:schemeClr w14:val="tx1"/>
            </w14:solidFill>
          </w14:textFill>
        </w:rPr>
        <w:t>。</w:t>
      </w:r>
    </w:p>
    <w:p w14:paraId="7FECB799">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color w:val="000000" w:themeColor="text1"/>
          <w:sz w:val="24"/>
          <w:szCs w:val="24"/>
          <w:highlight w:val="none"/>
          <w14:textFill>
            <w14:solidFill>
              <w14:schemeClr w14:val="tx1"/>
            </w14:solidFill>
          </w14:textFill>
        </w:rPr>
        <w:t>考核及酬金扣减</w:t>
      </w:r>
    </w:p>
    <w:p w14:paraId="0EB6E41D">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rPr>
        <w:t>.1</w:t>
      </w:r>
      <w:r>
        <w:rPr>
          <w:rFonts w:hint="default" w:ascii="Times New Roman" w:hAnsi="Times New Roman" w:cs="Times New Roman"/>
          <w:color w:val="000000" w:themeColor="text1"/>
          <w:sz w:val="24"/>
          <w:szCs w:val="24"/>
          <w:highlight w:val="none"/>
          <w14:textFill>
            <w14:solidFill>
              <w14:schemeClr w14:val="tx1"/>
            </w14:solidFill>
          </w14:textFill>
        </w:rPr>
        <w:t xml:space="preserve"> 因咨询人原因未按合同约定时限审结审计项目且又未报委托人同意延期的，每延长一天扣减总酬金(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核费）的0.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w:t>
      </w:r>
    </w:p>
    <w:p w14:paraId="0839296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.2 因咨询人原因未按</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复核</w:t>
      </w:r>
      <w:r>
        <w:rPr>
          <w:rFonts w:hint="default" w:ascii="Times New Roman" w:hAnsi="Times New Roman" w:cs="Times New Roman"/>
          <w:color w:val="000000" w:themeColor="text1"/>
          <w:sz w:val="24"/>
          <w:szCs w:val="24"/>
          <w:highlight w:val="none"/>
          <w14:textFill>
            <w14:solidFill>
              <w14:schemeClr w14:val="tx1"/>
            </w14:solidFill>
          </w14:textFill>
        </w:rPr>
        <w:t>出具报告时限要求及时提交</w:t>
      </w:r>
      <w:r>
        <w:rPr>
          <w:rFonts w:hint="default" w:ascii="Times New Roman" w:hAnsi="Times New Roman" w:cs="Times New Roman"/>
          <w:color w:val="000000" w:themeColor="text1"/>
          <w:sz w:val="24"/>
          <w:szCs w:val="24"/>
          <w:highlight w:val="none"/>
          <w:lang w:eastAsia="zh-CN"/>
          <w14:textFill>
            <w14:solidFill>
              <w14:schemeClr w14:val="tx1"/>
            </w14:solidFill>
          </w14:textFill>
        </w:rPr>
        <w:t>复核</w:t>
      </w:r>
      <w:r>
        <w:rPr>
          <w:rFonts w:hint="default" w:ascii="Times New Roman" w:hAnsi="Times New Roman" w:cs="Times New Roman"/>
          <w:color w:val="000000" w:themeColor="text1"/>
          <w:sz w:val="24"/>
          <w:szCs w:val="24"/>
          <w:highlight w:val="none"/>
          <w14:textFill>
            <w14:solidFill>
              <w14:schemeClr w14:val="tx1"/>
            </w14:solidFill>
          </w14:textFill>
        </w:rPr>
        <w:t>报告的，每延长一天扣减总酬金（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核费）的0.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w:t>
      </w:r>
    </w:p>
    <w:p w14:paraId="65FEE760">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3 </w:t>
      </w:r>
      <w:r>
        <w:rPr>
          <w:rFonts w:hint="default" w:ascii="Times New Roman" w:hAnsi="Times New Roman" w:cs="Times New Roman"/>
          <w:color w:val="000000" w:themeColor="text1"/>
          <w:sz w:val="24"/>
          <w:szCs w:val="24"/>
          <w:highlight w:val="none"/>
          <w14:textFill>
            <w14:solidFill>
              <w14:schemeClr w14:val="tx1"/>
            </w14:solidFill>
          </w14:textFill>
        </w:rPr>
        <w:t>咨询人将承接的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核业务交给或转包给本机构以外的个人或单位</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核的，委托人不支付</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复核</w:t>
      </w:r>
      <w:r>
        <w:rPr>
          <w:rFonts w:hint="default" w:ascii="Times New Roman" w:hAnsi="Times New Roman" w:cs="Times New Roman"/>
          <w:color w:val="000000" w:themeColor="text1"/>
          <w:sz w:val="24"/>
          <w:szCs w:val="24"/>
          <w:highlight w:val="none"/>
          <w14:textFill>
            <w14:solidFill>
              <w14:schemeClr w14:val="tx1"/>
            </w14:solidFill>
          </w14:textFill>
        </w:rPr>
        <w:t>费用。</w:t>
      </w:r>
    </w:p>
    <w:p w14:paraId="5C15E3B0">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rPr>
        <w:t>.4 咨询人丢失委托人提交的结算复核资料的，将视情况扣减复核机构酬金(复核费)总额的10%-30%。</w:t>
      </w:r>
    </w:p>
    <w:p w14:paraId="02C9AA47">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highlight w:val="none"/>
        </w:rPr>
        <w:t>9.</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 xml:space="preserve"> 咨询人出具的复核报告或</w:t>
      </w:r>
      <w:r>
        <w:rPr>
          <w:rFonts w:hint="default" w:ascii="Times New Roman" w:hAnsi="Times New Roman" w:cs="Times New Roman"/>
          <w:highlight w:val="none"/>
          <w:lang w:val="en-US" w:eastAsia="zh-CN"/>
        </w:rPr>
        <w:t>审定结算书</w:t>
      </w:r>
      <w:r>
        <w:rPr>
          <w:rFonts w:hint="default" w:ascii="Times New Roman" w:hAnsi="Times New Roman" w:cs="Times New Roman"/>
          <w:highlight w:val="none"/>
        </w:rPr>
        <w:t>，经委托人</w:t>
      </w:r>
      <w:r>
        <w:rPr>
          <w:rFonts w:hint="eastAsia" w:ascii="Times New Roman" w:hAnsi="Times New Roman" w:cs="Times New Roman"/>
          <w:highlight w:val="none"/>
          <w:lang w:val="en-US" w:eastAsia="zh-CN"/>
        </w:rPr>
        <w:t>或审计机关</w:t>
      </w:r>
      <w:r>
        <w:rPr>
          <w:rFonts w:hint="default" w:ascii="Times New Roman" w:hAnsi="Times New Roman" w:cs="Times New Roman"/>
          <w:highlight w:val="none"/>
        </w:rPr>
        <w:t>抽查</w:t>
      </w:r>
      <w:r>
        <w:rPr>
          <w:rFonts w:hint="eastAsia" w:ascii="Times New Roman" w:hAnsi="Times New Roman" w:cs="Times New Roman"/>
          <w:highlight w:val="none"/>
          <w:lang w:eastAsia="zh-CN"/>
        </w:rPr>
        <w:t>误差率在1%以上的，</w:t>
      </w:r>
      <w:r>
        <w:rPr>
          <w:rFonts w:hint="default" w:ascii="Times New Roman" w:hAnsi="Times New Roman" w:cs="Times New Roman"/>
          <w:highlight w:val="none"/>
        </w:rPr>
        <w:t>每超0.1个百分点扣减复核机构酬金(复核费)总额</w:t>
      </w:r>
      <w:r>
        <w:rPr>
          <w:rFonts w:hint="default" w:ascii="Times New Roman" w:hAnsi="Times New Roman" w:cs="Times New Roman"/>
        </w:rPr>
        <w:t>的10%，直至扣完应付酬金(复核费)为止。因咨询人复核质量问题给委托人造成损失和侵害，包括但不限于委托人本身的财产损失及由此而导致的对任何第三方的经济、法律责任等，咨询人应承担全部责任。</w:t>
      </w:r>
    </w:p>
    <w:p w14:paraId="22949A05">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r>
        <w:rPr>
          <w:rFonts w:hint="default" w:ascii="Times New Roman" w:hAnsi="Times New Roman" w:cs="Times New Roman"/>
          <w:color w:val="000000" w:themeColor="text1"/>
          <w:sz w:val="24"/>
          <w:szCs w:val="24"/>
          <w:highlight w:val="none"/>
          <w14:textFill>
            <w14:solidFill>
              <w14:schemeClr w14:val="tx1"/>
            </w14:solidFill>
          </w14:textFill>
        </w:rPr>
        <w:t>项目负责人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default" w:ascii="Times New Roman" w:hAnsi="Times New Roman" w:cs="Times New Roman"/>
          <w:color w:val="000000" w:themeColor="text1"/>
          <w:sz w:val="24"/>
          <w:szCs w:val="24"/>
          <w:highlight w:val="none"/>
          <w14:textFill>
            <w14:solidFill>
              <w14:schemeClr w14:val="tx1"/>
            </w14:solidFill>
          </w14:textFill>
        </w:rPr>
        <w:t>负责人，在咨询人总酬金(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 xml:space="preserve">核费）中扣减 </w:t>
      </w:r>
      <w:r>
        <w:rPr>
          <w:rFonts w:hint="eastAsia"/>
          <w:color w:val="000000"/>
          <w:sz w:val="24"/>
        </w:rPr>
        <w:t>20%/人•次</w:t>
      </w:r>
      <w:r>
        <w:rPr>
          <w:rFonts w:hint="default" w:ascii="Times New Roman" w:hAnsi="Times New Roman" w:cs="Times New Roman"/>
          <w:color w:val="000000" w:themeColor="text1"/>
          <w:sz w:val="24"/>
          <w:szCs w:val="24"/>
          <w:highlight w:val="none"/>
          <w14:textFill>
            <w14:solidFill>
              <w14:schemeClr w14:val="tx1"/>
            </w14:solidFill>
          </w14:textFill>
        </w:rPr>
        <w:t>。</w:t>
      </w:r>
    </w:p>
    <w:p w14:paraId="101B411F">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.7 如委托人发现咨询人有擅自更换项目咨询团队其他咨询人员的情形，应在总酬金(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核费）中扣减</w:t>
      </w:r>
      <w:r>
        <w:rPr>
          <w:rFonts w:hint="eastAsia"/>
          <w:color w:val="000000"/>
          <w:sz w:val="24"/>
        </w:rPr>
        <w:t>10%/人•次</w:t>
      </w:r>
      <w:r>
        <w:rPr>
          <w:rFonts w:hint="default" w:ascii="Times New Roman" w:hAnsi="Times New Roman" w:cs="Times New Roman"/>
          <w:color w:val="000000" w:themeColor="text1"/>
          <w:sz w:val="24"/>
          <w:szCs w:val="24"/>
          <w:highlight w:val="none"/>
          <w14:textFill>
            <w14:solidFill>
              <w14:schemeClr w14:val="tx1"/>
            </w14:solidFill>
          </w14:textFill>
        </w:rPr>
        <w:t>。</w:t>
      </w:r>
    </w:p>
    <w:p w14:paraId="6231A8B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.8委托人认定为咨询人委派人员不能胜任本次审计工作的，咨询人须更换同等资质和能力的人员。如咨询人未按委托人要求更换的，在总酬金(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核费）中扣减</w:t>
      </w:r>
      <w:r>
        <w:rPr>
          <w:rFonts w:hint="eastAsia"/>
          <w:color w:val="000000"/>
          <w:sz w:val="24"/>
        </w:rPr>
        <w:t>10%/人•次</w:t>
      </w:r>
      <w:r>
        <w:rPr>
          <w:rFonts w:hint="default" w:ascii="Times New Roman" w:hAnsi="Times New Roman" w:cs="Times New Roman"/>
          <w:color w:val="000000" w:themeColor="text1"/>
          <w:sz w:val="24"/>
          <w:szCs w:val="24"/>
          <w:highlight w:val="none"/>
          <w14:textFill>
            <w14:solidFill>
              <w14:schemeClr w14:val="tx1"/>
            </w14:solidFill>
          </w14:textFill>
        </w:rPr>
        <w:t>。</w:t>
      </w:r>
    </w:p>
    <w:p w14:paraId="2DD82D69">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其他</w:t>
      </w:r>
    </w:p>
    <w:p w14:paraId="3BE061FF">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.1 咨询人在审计过程中，应当实施现场实地勘察、核对工作，在进行上述事项或需向建设、施工等有关单位调查核实相关事项时，应提前两个工作日向项目委托人提出，委托人全程参与和协调。</w:t>
      </w:r>
    </w:p>
    <w:p w14:paraId="3ED47E0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咨询人在</w:t>
      </w:r>
      <w:r>
        <w:rPr>
          <w:rFonts w:hint="eastAsia" w:ascii="Times New Roman" w:hAnsi="Times New Roman" w:cs="Times New Roman"/>
          <w:lang w:eastAsia="zh-CN"/>
        </w:rPr>
        <w:t>现场勘查</w:t>
      </w:r>
      <w:r>
        <w:rPr>
          <w:rFonts w:hint="default" w:ascii="Times New Roman" w:hAnsi="Times New Roman" w:cs="Times New Roman"/>
        </w:rPr>
        <w:t>时应如实做好现场勘察和取证记录。记录主要内容包括：实施时间、参加人员、勘察情况、检查及测量数据、草图等。参加人员签字确认。</w:t>
      </w:r>
    </w:p>
    <w:p w14:paraId="45253F3F">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.2 审计中发现重大事项，咨询人应及时向委托人汇报并提出专业判断和建议，不得隐瞒和擅自处理。</w:t>
      </w:r>
    </w:p>
    <w:p w14:paraId="1EE76F7D">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color w:val="000000" w:themeColor="text1"/>
          <w:sz w:val="24"/>
          <w:szCs w:val="24"/>
          <w:highlight w:val="none"/>
          <w14:textFill>
            <w14:solidFill>
              <w14:schemeClr w14:val="tx1"/>
            </w14:solidFill>
          </w14:textFill>
        </w:rPr>
        <w:t>3 咨询人应按照相关法律规定为团队工作人员购买相应保险，咨询团队工作人员在履行工作职责期间发生伤、病、残等意外事故产生的相关费用均由咨询人负责。</w:t>
      </w:r>
    </w:p>
    <w:p w14:paraId="339BF7F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5B8F4AA7">
      <w:pPr>
        <w:adjustRightInd w:val="0"/>
        <w:spacing w:line="360" w:lineRule="auto"/>
        <w:ind w:firstLine="480" w:firstLineChars="200"/>
        <w:jc w:val="both"/>
        <w:rPr>
          <w:rFonts w:ascii="Times New Roman" w:hAnsi="Times New Roman" w:cs="Times New Roman"/>
          <w:color w:val="000000" w:themeColor="text1"/>
          <w:highlight w:val="none"/>
          <w14:textFill>
            <w14:solidFill>
              <w14:schemeClr w14:val="tx1"/>
            </w14:solidFill>
          </w14:textFill>
        </w:rPr>
      </w:pPr>
    </w:p>
    <w:sectPr>
      <w:footerReference r:id="rId6" w:type="default"/>
      <w:pgSz w:w="11906" w:h="16838"/>
      <w:pgMar w:top="1440" w:right="1803" w:bottom="1440" w:left="1803"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1" w:fontKey="{B57FD22C-A6DD-40CA-A73C-BC6302D56144}"/>
  </w:font>
  <w:font w:name="方正仿宋_GB2312">
    <w:altName w:val="方正仿宋_GBK"/>
    <w:panose1 w:val="02000000000000000000"/>
    <w:charset w:val="86"/>
    <w:family w:val="auto"/>
    <w:pitch w:val="default"/>
    <w:sig w:usb0="00000000" w:usb1="00000000" w:usb2="00000012" w:usb3="00000000" w:csb0="00040001" w:csb1="00000000"/>
    <w:embedRegular r:id="rId2" w:fontKey="{05590B95-B945-4F96-84C0-71CC5BCBCC65}"/>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29FD">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docPartObj>
                              <w:docPartGallery w:val="autotext"/>
                            </w:docPartObj>
                          </w:sdtPr>
                          <w:sdtEndPr>
                            <w:rPr>
                              <w:rFonts w:hint="default"/>
                              <w:lang w:val="en-US"/>
                            </w:rPr>
                          </w:sdtEndPr>
                          <w:sdtContent>
                            <w:p w14:paraId="6F462314">
                              <w:pPr>
                                <w:pStyle w:val="6"/>
                                <w:jc w:val="center"/>
                                <w:rPr>
                                  <w:rFonts w:hint="default"/>
                                  <w:lang w:val="en-US"/>
                                </w:rPr>
                              </w:pPr>
                            </w:p>
                          </w:sdtContent>
                        </w:sdt>
                        <w:p w14:paraId="274DF02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46344408"/>
                      <w:showingPlcHdr/>
                      <w:docPartObj>
                        <w:docPartGallery w:val="autotext"/>
                      </w:docPartObj>
                    </w:sdtPr>
                    <w:sdtEndPr>
                      <w:rPr>
                        <w:rFonts w:hint="default"/>
                        <w:lang w:val="en-US"/>
                      </w:rPr>
                    </w:sdtEndPr>
                    <w:sdtContent>
                      <w:p w14:paraId="6F462314">
                        <w:pPr>
                          <w:pStyle w:val="6"/>
                          <w:jc w:val="center"/>
                          <w:rPr>
                            <w:rFonts w:hint="default"/>
                            <w:lang w:val="en-US"/>
                          </w:rPr>
                        </w:pPr>
                      </w:p>
                    </w:sdtContent>
                  </w:sdt>
                  <w:p w14:paraId="274DF02C">
                    <w:pPr>
                      <w:pStyle w:val="2"/>
                    </w:pPr>
                  </w:p>
                </w:txbxContent>
              </v:textbox>
            </v:shape>
          </w:pict>
        </mc:Fallback>
      </mc:AlternateContent>
    </w:r>
  </w:p>
  <w:p w14:paraId="33870EB5">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AE6F">
    <w:pPr>
      <w:pStyle w:val="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E282A">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FE282A">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25"/>
                            <w:docPartObj>
                              <w:docPartGallery w:val="autotext"/>
                            </w:docPartObj>
                          </w:sdtPr>
                          <w:sdtEndPr>
                            <w:rPr>
                              <w:rFonts w:hint="default"/>
                              <w:lang w:val="en-US"/>
                            </w:rPr>
                          </w:sdtEndPr>
                          <w:sdtContent>
                            <w:p w14:paraId="451A5804">
                              <w:pPr>
                                <w:pStyle w:val="6"/>
                                <w:jc w:val="center"/>
                                <w:rPr>
                                  <w:rFonts w:hint="default"/>
                                  <w:lang w:val="en-US"/>
                                </w:rPr>
                              </w:pPr>
                            </w:p>
                          </w:sdtContent>
                        </w:sdt>
                        <w:p w14:paraId="03AF3E7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81925"/>
                      <w:docPartObj>
                        <w:docPartGallery w:val="autotext"/>
                      </w:docPartObj>
                    </w:sdtPr>
                    <w:sdtEndPr>
                      <w:rPr>
                        <w:rFonts w:hint="default"/>
                        <w:lang w:val="en-US"/>
                      </w:rPr>
                    </w:sdtEndPr>
                    <w:sdtContent>
                      <w:p w14:paraId="451A5804">
                        <w:pPr>
                          <w:pStyle w:val="6"/>
                          <w:jc w:val="center"/>
                          <w:rPr>
                            <w:rFonts w:hint="default"/>
                            <w:lang w:val="en-US"/>
                          </w:rPr>
                        </w:pPr>
                      </w:p>
                    </w:sdtContent>
                  </w:sdt>
                  <w:p w14:paraId="03AF3E75">
                    <w:pPr>
                      <w:pStyle w:val="2"/>
                    </w:pPr>
                  </w:p>
                </w:txbxContent>
              </v:textbox>
            </v:shape>
          </w:pict>
        </mc:Fallback>
      </mc:AlternateContent>
    </w:r>
  </w:p>
  <w:p w14:paraId="7FFA69C3">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CBF12">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AA469">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0AA469">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392"/>
                            <w:docPartObj>
                              <w:docPartGallery w:val="autotext"/>
                            </w:docPartObj>
                          </w:sdtPr>
                          <w:sdtEndPr>
                            <w:rPr>
                              <w:rFonts w:hint="default"/>
                              <w:lang w:val="en-US"/>
                            </w:rPr>
                          </w:sdtEndPr>
                          <w:sdtContent>
                            <w:p w14:paraId="7E9E6FF4">
                              <w:pPr>
                                <w:pStyle w:val="6"/>
                                <w:jc w:val="center"/>
                                <w:rPr>
                                  <w:rFonts w:hint="default"/>
                                  <w:lang w:val="en-US"/>
                                </w:rPr>
                              </w:pPr>
                            </w:p>
                          </w:sdtContent>
                        </w:sdt>
                        <w:p w14:paraId="0F1CB70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1392"/>
                      <w:docPartObj>
                        <w:docPartGallery w:val="autotext"/>
                      </w:docPartObj>
                    </w:sdtPr>
                    <w:sdtEndPr>
                      <w:rPr>
                        <w:rFonts w:hint="default"/>
                        <w:lang w:val="en-US"/>
                      </w:rPr>
                    </w:sdtEndPr>
                    <w:sdtContent>
                      <w:p w14:paraId="7E9E6FF4">
                        <w:pPr>
                          <w:pStyle w:val="6"/>
                          <w:jc w:val="center"/>
                          <w:rPr>
                            <w:rFonts w:hint="default"/>
                            <w:lang w:val="en-US"/>
                          </w:rPr>
                        </w:pPr>
                      </w:p>
                    </w:sdtContent>
                  </w:sdt>
                  <w:p w14:paraId="0F1CB70B">
                    <w:pPr>
                      <w:pStyle w:val="2"/>
                    </w:pPr>
                  </w:p>
                </w:txbxContent>
              </v:textbox>
            </v:shape>
          </w:pict>
        </mc:Fallback>
      </mc:AlternateContent>
    </w:r>
  </w:p>
  <w:p w14:paraId="2FBBBEC0">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6A4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MTJhMGUxNGI0ZmEzYjJkZTFmY2Q4OWM2OTBmMGEifQ=="/>
  </w:docVars>
  <w:rsids>
    <w:rsidRoot w:val="005D3D48"/>
    <w:rsid w:val="00042A6D"/>
    <w:rsid w:val="000B660C"/>
    <w:rsid w:val="000B7215"/>
    <w:rsid w:val="000E3BC3"/>
    <w:rsid w:val="000F5C36"/>
    <w:rsid w:val="00110892"/>
    <w:rsid w:val="00114FB4"/>
    <w:rsid w:val="001D3DD4"/>
    <w:rsid w:val="001E3C78"/>
    <w:rsid w:val="00297CF3"/>
    <w:rsid w:val="00360F5E"/>
    <w:rsid w:val="0037050F"/>
    <w:rsid w:val="00371E13"/>
    <w:rsid w:val="003869BA"/>
    <w:rsid w:val="003960B1"/>
    <w:rsid w:val="00433B40"/>
    <w:rsid w:val="00475C55"/>
    <w:rsid w:val="004F489C"/>
    <w:rsid w:val="0053467A"/>
    <w:rsid w:val="0056243C"/>
    <w:rsid w:val="00573ABB"/>
    <w:rsid w:val="00587A22"/>
    <w:rsid w:val="005D3D48"/>
    <w:rsid w:val="0060218C"/>
    <w:rsid w:val="0060428F"/>
    <w:rsid w:val="006247AE"/>
    <w:rsid w:val="0067117B"/>
    <w:rsid w:val="006750A1"/>
    <w:rsid w:val="006E738B"/>
    <w:rsid w:val="00716D81"/>
    <w:rsid w:val="007765FC"/>
    <w:rsid w:val="00781D7B"/>
    <w:rsid w:val="0081542E"/>
    <w:rsid w:val="00821E1D"/>
    <w:rsid w:val="008347C1"/>
    <w:rsid w:val="00857B6B"/>
    <w:rsid w:val="008C5CD8"/>
    <w:rsid w:val="009514AC"/>
    <w:rsid w:val="009619AE"/>
    <w:rsid w:val="00A57285"/>
    <w:rsid w:val="00AD48D4"/>
    <w:rsid w:val="00AD5227"/>
    <w:rsid w:val="00AE06B5"/>
    <w:rsid w:val="00BD0F35"/>
    <w:rsid w:val="00BE544F"/>
    <w:rsid w:val="00C565CE"/>
    <w:rsid w:val="00CB664A"/>
    <w:rsid w:val="00CE7D71"/>
    <w:rsid w:val="00D160B8"/>
    <w:rsid w:val="00D660C8"/>
    <w:rsid w:val="00DA7BD0"/>
    <w:rsid w:val="00E10D30"/>
    <w:rsid w:val="00E231C8"/>
    <w:rsid w:val="00E265F6"/>
    <w:rsid w:val="00E60F09"/>
    <w:rsid w:val="00EE0172"/>
    <w:rsid w:val="00EF69A4"/>
    <w:rsid w:val="00FB0E25"/>
    <w:rsid w:val="00FE5C2C"/>
    <w:rsid w:val="00FF066E"/>
    <w:rsid w:val="01C8249F"/>
    <w:rsid w:val="02AE46A8"/>
    <w:rsid w:val="03C25C9A"/>
    <w:rsid w:val="03DE7836"/>
    <w:rsid w:val="07325D92"/>
    <w:rsid w:val="07AD21E7"/>
    <w:rsid w:val="09134B55"/>
    <w:rsid w:val="09672707"/>
    <w:rsid w:val="0C4F5747"/>
    <w:rsid w:val="0DBE64EC"/>
    <w:rsid w:val="11ED1C8A"/>
    <w:rsid w:val="11EE07AB"/>
    <w:rsid w:val="12940358"/>
    <w:rsid w:val="12AD2F0F"/>
    <w:rsid w:val="1419279F"/>
    <w:rsid w:val="16BB3866"/>
    <w:rsid w:val="18FA57DB"/>
    <w:rsid w:val="1988244E"/>
    <w:rsid w:val="1A445788"/>
    <w:rsid w:val="1AA8606F"/>
    <w:rsid w:val="1AB5782C"/>
    <w:rsid w:val="1B0F4FD7"/>
    <w:rsid w:val="1C8B526C"/>
    <w:rsid w:val="22BE0184"/>
    <w:rsid w:val="258117CA"/>
    <w:rsid w:val="26852D5E"/>
    <w:rsid w:val="26C55EA9"/>
    <w:rsid w:val="27013138"/>
    <w:rsid w:val="29632D4A"/>
    <w:rsid w:val="2A68414C"/>
    <w:rsid w:val="2B824856"/>
    <w:rsid w:val="2BB26F48"/>
    <w:rsid w:val="2BDA6BBE"/>
    <w:rsid w:val="2BF20A38"/>
    <w:rsid w:val="2D51319A"/>
    <w:rsid w:val="2F7160E9"/>
    <w:rsid w:val="2F7209BF"/>
    <w:rsid w:val="30D047F9"/>
    <w:rsid w:val="313D14DF"/>
    <w:rsid w:val="313D20A7"/>
    <w:rsid w:val="32480CC5"/>
    <w:rsid w:val="341D35E5"/>
    <w:rsid w:val="34F65F52"/>
    <w:rsid w:val="35330B20"/>
    <w:rsid w:val="363E1AC6"/>
    <w:rsid w:val="377B210E"/>
    <w:rsid w:val="38127A1F"/>
    <w:rsid w:val="382151DF"/>
    <w:rsid w:val="384B0C09"/>
    <w:rsid w:val="3A175247"/>
    <w:rsid w:val="3A812261"/>
    <w:rsid w:val="3C2800FC"/>
    <w:rsid w:val="3DD62728"/>
    <w:rsid w:val="3E42657F"/>
    <w:rsid w:val="41AF2187"/>
    <w:rsid w:val="461E0926"/>
    <w:rsid w:val="49747291"/>
    <w:rsid w:val="4AD67854"/>
    <w:rsid w:val="4BE56F53"/>
    <w:rsid w:val="4E2D6CAF"/>
    <w:rsid w:val="4F4144EB"/>
    <w:rsid w:val="4F65270E"/>
    <w:rsid w:val="4FDD5712"/>
    <w:rsid w:val="50CD2020"/>
    <w:rsid w:val="59837DAB"/>
    <w:rsid w:val="5A446E6C"/>
    <w:rsid w:val="5E400A2E"/>
    <w:rsid w:val="5E5B4BF6"/>
    <w:rsid w:val="5FCC550A"/>
    <w:rsid w:val="610261B7"/>
    <w:rsid w:val="61AD3C17"/>
    <w:rsid w:val="62BE58E2"/>
    <w:rsid w:val="643E662A"/>
    <w:rsid w:val="65A942AE"/>
    <w:rsid w:val="66033B3B"/>
    <w:rsid w:val="6A445522"/>
    <w:rsid w:val="6AA10091"/>
    <w:rsid w:val="6C7C2B64"/>
    <w:rsid w:val="6D847F67"/>
    <w:rsid w:val="6DEB52B8"/>
    <w:rsid w:val="6E5B062F"/>
    <w:rsid w:val="6F213FF4"/>
    <w:rsid w:val="6F9C1AC5"/>
    <w:rsid w:val="70C63940"/>
    <w:rsid w:val="70CA631F"/>
    <w:rsid w:val="72C03503"/>
    <w:rsid w:val="750A157A"/>
    <w:rsid w:val="75327FD9"/>
    <w:rsid w:val="787D6230"/>
    <w:rsid w:val="7AB40AC3"/>
    <w:rsid w:val="7D0D160C"/>
    <w:rsid w:val="7F12541D"/>
    <w:rsid w:val="7F501F19"/>
    <w:rsid w:val="8F7DC001"/>
    <w:rsid w:val="DFFFE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link w:val="16"/>
    <w:autoRedefine/>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napToGrid w:val="0"/>
      <w:spacing w:line="440" w:lineRule="exact"/>
    </w:pPr>
    <w:rPr>
      <w:rFonts w:eastAsia="Times New Roman"/>
      <w:sz w:val="20"/>
    </w:rPr>
  </w:style>
  <w:style w:type="paragraph" w:styleId="5">
    <w:name w:val="annotation text"/>
    <w:basedOn w:val="1"/>
    <w:semiHidden/>
    <w:unhideWhenUsed/>
    <w:qFormat/>
    <w:uiPriority w:val="99"/>
    <w:pPr>
      <w:jc w:val="left"/>
    </w:pPr>
  </w:style>
  <w:style w:type="paragraph" w:styleId="6">
    <w:name w:val="footer"/>
    <w:basedOn w:val="1"/>
    <w:link w:val="15"/>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7">
    <w:name w:val="header"/>
    <w:basedOn w:val="1"/>
    <w:link w:val="14"/>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toc 1"/>
    <w:basedOn w:val="1"/>
    <w:next w:val="1"/>
    <w:unhideWhenUsed/>
    <w:qFormat/>
    <w:uiPriority w:val="39"/>
    <w:rPr>
      <w:rFonts w:eastAsia="黑体"/>
      <w:sz w:val="28"/>
    </w:rPr>
  </w:style>
  <w:style w:type="paragraph" w:styleId="9">
    <w:name w:val="Subtitle"/>
    <w:basedOn w:val="1"/>
    <w:next w:val="1"/>
    <w:link w:val="19"/>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10">
    <w:name w:val="Normal (Web)"/>
    <w:basedOn w:val="1"/>
    <w:unhideWhenUsed/>
    <w:qFormat/>
    <w:uiPriority w:val="99"/>
    <w:pPr>
      <w:spacing w:before="100" w:beforeAutospacing="1" w:after="100" w:afterAutospacing="1"/>
    </w:pPr>
  </w:style>
  <w:style w:type="paragraph" w:styleId="11">
    <w:name w:val="Title"/>
    <w:basedOn w:val="1"/>
    <w:next w:val="1"/>
    <w:link w:val="18"/>
    <w:qFormat/>
    <w:uiPriority w:val="10"/>
    <w:pPr>
      <w:spacing w:before="60" w:after="60"/>
      <w:jc w:val="center"/>
      <w:outlineLvl w:val="0"/>
    </w:pPr>
    <w:rPr>
      <w:rFonts w:ascii="Cambria" w:hAnsi="Cambria" w:eastAsiaTheme="minorEastAsia" w:cstheme="minorBidi"/>
      <w:b/>
      <w:bCs/>
      <w:kern w:val="2"/>
      <w:szCs w:val="32"/>
    </w:rPr>
  </w:style>
  <w:style w:type="character" w:customStyle="1" w:styleId="14">
    <w:name w:val="页眉 字符"/>
    <w:basedOn w:val="13"/>
    <w:link w:val="7"/>
    <w:qFormat/>
    <w:uiPriority w:val="99"/>
    <w:rPr>
      <w:sz w:val="18"/>
      <w:szCs w:val="18"/>
    </w:rPr>
  </w:style>
  <w:style w:type="character" w:customStyle="1" w:styleId="15">
    <w:name w:val="页脚 字符"/>
    <w:basedOn w:val="13"/>
    <w:link w:val="6"/>
    <w:qFormat/>
    <w:uiPriority w:val="99"/>
    <w:rPr>
      <w:sz w:val="18"/>
      <w:szCs w:val="18"/>
    </w:rPr>
  </w:style>
  <w:style w:type="character" w:customStyle="1" w:styleId="16">
    <w:name w:val="标题 1 字符"/>
    <w:basedOn w:val="13"/>
    <w:link w:val="3"/>
    <w:qFormat/>
    <w:uiPriority w:val="9"/>
    <w:rPr>
      <w:rFonts w:ascii="宋体" w:hAnsi="宋体" w:eastAsia="宋体" w:cs="Times New Roman"/>
      <w:b/>
      <w:bCs/>
      <w:kern w:val="44"/>
      <w:sz w:val="44"/>
      <w:szCs w:val="44"/>
    </w:rPr>
  </w:style>
  <w:style w:type="character" w:customStyle="1" w:styleId="17">
    <w:name w:val="15"/>
    <w:qFormat/>
    <w:uiPriority w:val="0"/>
    <w:rPr>
      <w:rFonts w:hint="default" w:ascii="Times New Roman" w:hAnsi="Times New Roman" w:cs="Times New Roman"/>
      <w:color w:val="464445"/>
      <w:u w:val="none"/>
    </w:rPr>
  </w:style>
  <w:style w:type="character" w:customStyle="1" w:styleId="18">
    <w:name w:val="标题 字符"/>
    <w:link w:val="11"/>
    <w:qFormat/>
    <w:uiPriority w:val="10"/>
    <w:rPr>
      <w:rFonts w:ascii="Cambria" w:hAnsi="Cambria"/>
      <w:b/>
      <w:bCs/>
      <w:sz w:val="24"/>
      <w:szCs w:val="32"/>
    </w:rPr>
  </w:style>
  <w:style w:type="character" w:customStyle="1" w:styleId="19">
    <w:name w:val="副标题 字符"/>
    <w:link w:val="9"/>
    <w:qFormat/>
    <w:uiPriority w:val="11"/>
    <w:rPr>
      <w:rFonts w:ascii="Calibri Light" w:hAnsi="Calibri Light" w:cs="Times New Roman"/>
      <w:b/>
      <w:bCs/>
      <w:kern w:val="28"/>
      <w:sz w:val="32"/>
      <w:szCs w:val="32"/>
    </w:rPr>
  </w:style>
  <w:style w:type="paragraph" w:customStyle="1" w:styleId="20">
    <w:name w:val="zhang"/>
    <w:basedOn w:val="1"/>
    <w:qFormat/>
    <w:uiPriority w:val="0"/>
    <w:pPr>
      <w:spacing w:before="100" w:beforeAutospacing="1" w:after="100" w:afterAutospacing="1"/>
    </w:pPr>
    <w:rPr>
      <w:b/>
      <w:bCs/>
      <w:smallCaps/>
      <w:color w:val="000000"/>
      <w:sz w:val="20"/>
      <w:szCs w:val="20"/>
    </w:rPr>
  </w:style>
  <w:style w:type="character" w:customStyle="1" w:styleId="21">
    <w:name w:val="副标题 Char1"/>
    <w:basedOn w:val="13"/>
    <w:qFormat/>
    <w:uiPriority w:val="11"/>
    <w:rPr>
      <w:rFonts w:eastAsia="宋体" w:asciiTheme="majorHAnsi" w:hAnsiTheme="majorHAnsi" w:cstheme="majorBidi"/>
      <w:b/>
      <w:bCs/>
      <w:kern w:val="28"/>
      <w:sz w:val="32"/>
      <w:szCs w:val="32"/>
    </w:rPr>
  </w:style>
  <w:style w:type="paragraph" w:customStyle="1" w:styleId="22">
    <w:name w:val="TOC Heading"/>
    <w:basedOn w:val="3"/>
    <w:next w:val="1"/>
    <w:qFormat/>
    <w:uiPriority w:val="0"/>
    <w:pPr>
      <w:widowControl w:val="0"/>
      <w:spacing w:line="576" w:lineRule="auto"/>
      <w:jc w:val="both"/>
      <w:outlineLvl w:val="9"/>
    </w:pPr>
    <w:rPr>
      <w:rFonts w:ascii="Calibri" w:hAnsi="Calibri"/>
    </w:rPr>
  </w:style>
  <w:style w:type="paragraph" w:customStyle="1" w:styleId="23">
    <w:name w:val="p0"/>
    <w:basedOn w:val="1"/>
    <w:qFormat/>
    <w:uiPriority w:val="0"/>
    <w:pPr>
      <w:jc w:val="both"/>
    </w:pPr>
    <w:rPr>
      <w:rFonts w:ascii="Times New Roman" w:hAnsi="Times New Roman" w:cs="Times New Roman"/>
      <w:sz w:val="21"/>
      <w:szCs w:val="21"/>
    </w:rPr>
  </w:style>
  <w:style w:type="character" w:customStyle="1" w:styleId="24">
    <w:name w:val="标题 Char1"/>
    <w:basedOn w:val="13"/>
    <w:qFormat/>
    <w:uiPriority w:val="10"/>
    <w:rPr>
      <w:rFonts w:eastAsia="宋体" w:asciiTheme="majorHAnsi" w:hAnsiTheme="majorHAnsi" w:cstheme="majorBidi"/>
      <w:b/>
      <w:bCs/>
      <w:kern w:val="0"/>
      <w:sz w:val="32"/>
      <w:szCs w:val="32"/>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25</Pages>
  <Words>752</Words>
  <Characters>861</Characters>
  <Lines>52</Lines>
  <Paragraphs>14</Paragraphs>
  <TotalTime>47</TotalTime>
  <ScaleCrop>false</ScaleCrop>
  <LinksUpToDate>false</LinksUpToDate>
  <CharactersWithSpaces>1106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2022-05-17T17:42:00Z</dcterms:created>
  <dc:creator>Windows 用户</dc:creator>
  <cp:lastModifiedBy>彭文</cp:lastModifiedBy>
  <cp:lastPrinted>2024-11-25T17:26:00Z</cp:lastPrinted>
  <dcterms:modified xsi:type="dcterms:W3CDTF">2025-05-19T09:43:04Z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CE7BE34CBC3E49D4CC080E68BEA1CE90_43</vt:lpwstr>
  </property>
  <property fmtid="{D5CDD505-2E9C-101B-9397-08002B2CF9AE}" pid="4" name="KSOTemplateDocerSaveRecord">
    <vt:lpwstr>eyJoZGlkIjoiOWQyODNiNDEwNDBiZjU3NDFiNmVhY2JmYTgzZTJjMTMiLCJ1c2VySWQiOiIyODgxNTkyMyJ9</vt:lpwstr>
  </property>
</Properties>
</file>