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Times New Roman" w:hAnsi="Times New Roman" w:eastAsia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停车场商业保险服务项目报价表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2192"/>
        <w:gridCol w:w="3294"/>
        <w:gridCol w:w="1304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46" w:type="dxa"/>
          </w:tcPr>
          <w:p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92" w:type="dxa"/>
          </w:tcPr>
          <w:p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3294" w:type="dxa"/>
          </w:tcPr>
          <w:p>
            <w:pPr>
              <w:pStyle w:val="2"/>
              <w:jc w:val="center"/>
              <w:rPr>
                <w:rFonts w:hint="default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保险服务要求内容</w:t>
            </w:r>
          </w:p>
        </w:tc>
        <w:tc>
          <w:tcPr>
            <w:tcW w:w="1304" w:type="dxa"/>
          </w:tcPr>
          <w:p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086" w:type="dxa"/>
          </w:tcPr>
          <w:p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646" w:type="dxa"/>
          </w:tcPr>
          <w:p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192" w:type="dxa"/>
          </w:tcPr>
          <w:p>
            <w:pPr>
              <w:pStyle w:val="2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公众责任险附加停车场责任保险</w:t>
            </w:r>
          </w:p>
        </w:tc>
        <w:tc>
          <w:tcPr>
            <w:tcW w:w="32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公众责任险保额要求: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(一)累计赔偿限额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300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(二)每次事故赔偿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(三)每人每次赔偿限额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停车场责任保险保额要求: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(一)累计赔偿限额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300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(二)每次事故赔偿限额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(三)每次事故每车赔偿限额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要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求: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(一)财产损失:每次事故绝对免赔额为500元或损失金额的10%，两者以高者为准。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(二)医疗费用:对被保险人所支出的必要合理的、符合当地社会医疗保险主管部门规定可报销的医疗费用，实行每次事故绝对免赔额200元后在其医疗费用责任限额内按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%比例计算赔付。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(三)①发生非盗窃、抢劫、抢夺责任事故时每次事故绝对免赔额为人民币200元或损失金额的10%，以高者为准:②发生盗窃、抢劫、抢夺责任事故时每次事故绝对免赔率为损失金额的20%，并按被盗车辆在出险地、出险当时的实际价值作为赔偿理算基础。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304" w:type="dxa"/>
          </w:tcPr>
          <w:p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</w:p>
          <w:p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元/车位·年</w:t>
            </w:r>
          </w:p>
        </w:tc>
        <w:tc>
          <w:tcPr>
            <w:tcW w:w="1086" w:type="dxa"/>
          </w:tcPr>
          <w:p>
            <w:pPr>
              <w:pStyle w:val="2"/>
              <w:jc w:val="center"/>
              <w:rPr>
                <w:rFonts w:hint="eastAsia" w:ascii="方正仿宋简体" w:hAnsi="方正仿宋简体" w:eastAsia="方正仿宋简体" w:cs="方正仿宋简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40" w:lineRule="exact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rPr>
          <w:rFonts w:hint="default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报价人：</w:t>
      </w:r>
    </w:p>
    <w:p>
      <w:pPr>
        <w:pStyle w:val="2"/>
        <w:spacing w:before="0" w:after="0" w:line="560" w:lineRule="exact"/>
        <w:ind w:firstLine="4800" w:firstLineChars="1500"/>
        <w:jc w:val="both"/>
        <w:rPr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lang w:val="en-US" w:eastAsia="zh-CN" w:bidi="ar-SA"/>
        </w:rPr>
        <w:t>报价时间：</w:t>
      </w:r>
    </w:p>
    <w:p>
      <w:pPr>
        <w:pStyle w:val="2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zY2NjZmM2ODY1YjlkMmQ4OTAwYzkwOTZmMjA1OTUifQ=="/>
  </w:docVars>
  <w:rsids>
    <w:rsidRoot w:val="466F42BE"/>
    <w:rsid w:val="0E355239"/>
    <w:rsid w:val="1DA11D66"/>
    <w:rsid w:val="32A60066"/>
    <w:rsid w:val="466F42BE"/>
    <w:rsid w:val="7E53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2025-04-18T06:26:00Z</dcterms:created>
  <dc:creator>愚公移山不改道</dc:creator>
  <cp:lastModifiedBy>愚公移山不改道</cp:lastModifiedBy>
  <cp:lastPrinted>2025-04-30T07:19:32Z</cp:lastPrinted>
  <dcterms:modified xsi:type="dcterms:W3CDTF">2025-04-30T07:43:32Z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7A6AA939CA104FBA82F9771A967CB7F4_11</vt:lpwstr>
  </property>
</Properties>
</file>