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2E618">
      <w:pPr>
        <w:spacing w:line="312" w:lineRule="auto"/>
        <w:rPr>
          <w:rFonts w:ascii="Arial"/>
          <w:sz w:val="21"/>
        </w:rPr>
      </w:pPr>
    </w:p>
    <w:p w14:paraId="6CDE715D">
      <w:pPr>
        <w:pStyle w:val="2"/>
        <w:spacing w:before="101" w:line="224" w:lineRule="auto"/>
        <w:ind w:left="4741"/>
        <w:rPr>
          <w:rFonts w:hint="default" w:ascii="Times New Roman" w:hAnsi="Times New Roman" w:eastAsia="宋体" w:cs="Times New Roman"/>
          <w:lang w:val="en-US" w:eastAsia="zh-CN"/>
        </w:rPr>
      </w:pPr>
      <w:r>
        <w:rPr>
          <w:spacing w:val="-1"/>
        </w:rPr>
        <w:t>合同编号：</w:t>
      </w:r>
      <w:r>
        <w:rPr>
          <w:rFonts w:ascii="Times New Roman" w:hAnsi="Times New Roman" w:eastAsia="Times New Roman" w:cs="Times New Roman"/>
          <w:spacing w:val="-1"/>
        </w:rPr>
        <w:t>YHWL-CGHT0</w:t>
      </w:r>
      <w:r>
        <w:rPr>
          <w:rFonts w:hint="eastAsia" w:ascii="Times New Roman" w:hAnsi="Times New Roman" w:eastAsia="宋体" w:cs="Times New Roman"/>
          <w:spacing w:val="-1"/>
          <w:lang w:val="en-US" w:eastAsia="zh-CN"/>
        </w:rPr>
        <w:t>89</w:t>
      </w:r>
    </w:p>
    <w:p w14:paraId="6D1AA4D6">
      <w:pPr>
        <w:spacing w:line="467" w:lineRule="auto"/>
        <w:rPr>
          <w:rFonts w:ascii="Arial"/>
          <w:sz w:val="21"/>
        </w:rPr>
      </w:pPr>
    </w:p>
    <w:p w14:paraId="3AF5284E">
      <w:pPr>
        <w:spacing w:line="1632" w:lineRule="exact"/>
        <w:ind w:firstLine="9871"/>
      </w:pPr>
    </w:p>
    <w:p w14:paraId="4DC2660F">
      <w:pPr>
        <w:spacing w:line="246" w:lineRule="auto"/>
        <w:rPr>
          <w:rFonts w:ascii="Arial"/>
          <w:sz w:val="21"/>
        </w:rPr>
      </w:pPr>
    </w:p>
    <w:p w14:paraId="387523FD">
      <w:pPr>
        <w:spacing w:line="246" w:lineRule="auto"/>
        <w:rPr>
          <w:rFonts w:ascii="Arial"/>
          <w:sz w:val="21"/>
        </w:rPr>
      </w:pPr>
    </w:p>
    <w:p w14:paraId="1C350031">
      <w:pPr>
        <w:spacing w:line="246" w:lineRule="auto"/>
        <w:rPr>
          <w:rFonts w:ascii="Arial"/>
          <w:sz w:val="21"/>
        </w:rPr>
      </w:pPr>
    </w:p>
    <w:p w14:paraId="7C51490D">
      <w:pPr>
        <w:spacing w:line="247" w:lineRule="auto"/>
        <w:rPr>
          <w:rFonts w:ascii="Arial"/>
          <w:sz w:val="21"/>
        </w:rPr>
      </w:pPr>
    </w:p>
    <w:p w14:paraId="3941143F">
      <w:pPr>
        <w:spacing w:line="247" w:lineRule="auto"/>
        <w:rPr>
          <w:rFonts w:ascii="Arial"/>
          <w:sz w:val="21"/>
        </w:rPr>
      </w:pPr>
    </w:p>
    <w:p w14:paraId="1E39768E">
      <w:pPr>
        <w:spacing w:line="247" w:lineRule="auto"/>
        <w:rPr>
          <w:rFonts w:ascii="Arial"/>
          <w:sz w:val="21"/>
        </w:rPr>
      </w:pPr>
    </w:p>
    <w:p w14:paraId="2B59FB1F">
      <w:pPr>
        <w:spacing w:line="247" w:lineRule="auto"/>
        <w:rPr>
          <w:rFonts w:ascii="Arial"/>
          <w:sz w:val="21"/>
        </w:rPr>
      </w:pPr>
    </w:p>
    <w:p w14:paraId="570174E5">
      <w:pPr>
        <w:spacing w:line="247" w:lineRule="auto"/>
        <w:rPr>
          <w:rFonts w:ascii="Arial"/>
          <w:sz w:val="21"/>
        </w:rPr>
      </w:pPr>
    </w:p>
    <w:p w14:paraId="2BD56138">
      <w:pPr>
        <w:spacing w:line="247" w:lineRule="auto"/>
        <w:rPr>
          <w:rFonts w:ascii="Arial"/>
          <w:sz w:val="21"/>
        </w:rPr>
      </w:pPr>
    </w:p>
    <w:p w14:paraId="47AE9933">
      <w:pPr>
        <w:spacing w:line="247" w:lineRule="auto"/>
        <w:rPr>
          <w:rFonts w:ascii="Arial"/>
          <w:sz w:val="21"/>
        </w:rPr>
      </w:pPr>
    </w:p>
    <w:p w14:paraId="56DE5779">
      <w:pPr>
        <w:spacing w:line="247" w:lineRule="auto"/>
        <w:rPr>
          <w:rFonts w:ascii="Arial"/>
          <w:sz w:val="21"/>
        </w:rPr>
      </w:pPr>
    </w:p>
    <w:p w14:paraId="7D1E26F3">
      <w:pPr>
        <w:spacing w:before="150" w:line="243" w:lineRule="auto"/>
        <w:ind w:left="3127" w:right="3284" w:hanging="1620"/>
        <w:jc w:val="center"/>
        <w:rPr>
          <w:rFonts w:hint="eastAsia" w:ascii="宋体" w:hAnsi="宋体" w:eastAsia="宋体" w:cs="宋体"/>
          <w:b/>
          <w:bCs/>
          <w:spacing w:val="79"/>
          <w:sz w:val="46"/>
          <w:szCs w:val="46"/>
          <w:lang w:val="en-US" w:eastAsia="zh-CN"/>
        </w:rPr>
      </w:pPr>
      <w:r>
        <w:rPr>
          <w:rFonts w:hint="eastAsia" w:ascii="宋体" w:hAnsi="宋体" w:eastAsia="宋体" w:cs="宋体"/>
          <w:b/>
          <w:bCs/>
          <w:spacing w:val="79"/>
          <w:sz w:val="46"/>
          <w:szCs w:val="46"/>
          <w:lang w:val="en-US" w:eastAsia="zh-CN"/>
        </w:rPr>
        <w:t>消防技术</w:t>
      </w:r>
    </w:p>
    <w:p w14:paraId="765EFC75">
      <w:pPr>
        <w:spacing w:before="150" w:line="243" w:lineRule="auto"/>
        <w:ind w:left="3127" w:right="3284" w:hanging="1620"/>
        <w:jc w:val="center"/>
        <w:rPr>
          <w:rFonts w:ascii="宋体" w:hAnsi="宋体" w:eastAsia="宋体" w:cs="宋体"/>
          <w:sz w:val="46"/>
          <w:szCs w:val="46"/>
        </w:rPr>
      </w:pPr>
      <w:r>
        <w:rPr>
          <w:rFonts w:ascii="宋体" w:hAnsi="宋体" w:eastAsia="宋体" w:cs="宋体"/>
          <w:b/>
          <w:bCs/>
          <w:spacing w:val="-19"/>
          <w:sz w:val="46"/>
          <w:szCs w:val="46"/>
        </w:rPr>
        <w:t>服务合同</w:t>
      </w:r>
    </w:p>
    <w:p w14:paraId="498219B2">
      <w:pPr>
        <w:spacing w:line="253" w:lineRule="auto"/>
        <w:rPr>
          <w:rFonts w:ascii="Arial"/>
          <w:sz w:val="21"/>
        </w:rPr>
      </w:pPr>
    </w:p>
    <w:p w14:paraId="0BBAA962">
      <w:pPr>
        <w:spacing w:line="253" w:lineRule="auto"/>
        <w:rPr>
          <w:rFonts w:ascii="Arial"/>
          <w:sz w:val="21"/>
        </w:rPr>
      </w:pPr>
    </w:p>
    <w:p w14:paraId="08EEDDD7">
      <w:pPr>
        <w:spacing w:line="253" w:lineRule="auto"/>
        <w:rPr>
          <w:rFonts w:ascii="Arial"/>
          <w:sz w:val="21"/>
        </w:rPr>
      </w:pPr>
    </w:p>
    <w:p w14:paraId="303729E8">
      <w:pPr>
        <w:spacing w:line="253" w:lineRule="auto"/>
        <w:rPr>
          <w:rFonts w:ascii="Arial"/>
          <w:sz w:val="21"/>
        </w:rPr>
      </w:pPr>
    </w:p>
    <w:p w14:paraId="2B0B56ED">
      <w:pPr>
        <w:pStyle w:val="2"/>
        <w:rPr>
          <w:rFonts w:ascii="Arial"/>
          <w:sz w:val="21"/>
        </w:rPr>
      </w:pPr>
    </w:p>
    <w:p w14:paraId="32B30FCE">
      <w:pPr>
        <w:pStyle w:val="2"/>
        <w:rPr>
          <w:rFonts w:ascii="Arial"/>
          <w:sz w:val="21"/>
        </w:rPr>
      </w:pPr>
    </w:p>
    <w:p w14:paraId="0454A021">
      <w:pPr>
        <w:pStyle w:val="2"/>
        <w:rPr>
          <w:rFonts w:ascii="Arial"/>
          <w:sz w:val="21"/>
        </w:rPr>
      </w:pPr>
    </w:p>
    <w:p w14:paraId="7CA0D909">
      <w:pPr>
        <w:pStyle w:val="2"/>
        <w:rPr>
          <w:rFonts w:ascii="Arial"/>
          <w:sz w:val="21"/>
        </w:rPr>
      </w:pPr>
    </w:p>
    <w:p w14:paraId="6B80D0C4">
      <w:pPr>
        <w:pStyle w:val="2"/>
        <w:rPr>
          <w:rFonts w:ascii="Arial"/>
          <w:sz w:val="21"/>
        </w:rPr>
      </w:pPr>
    </w:p>
    <w:p w14:paraId="4A54D97E">
      <w:pPr>
        <w:pStyle w:val="2"/>
        <w:rPr>
          <w:rFonts w:ascii="Arial"/>
          <w:sz w:val="21"/>
        </w:rPr>
      </w:pPr>
    </w:p>
    <w:p w14:paraId="1262EF91">
      <w:pPr>
        <w:pStyle w:val="2"/>
        <w:rPr>
          <w:rFonts w:ascii="Arial"/>
          <w:sz w:val="21"/>
        </w:rPr>
      </w:pPr>
    </w:p>
    <w:p w14:paraId="0E8F2C3B">
      <w:pPr>
        <w:pStyle w:val="2"/>
        <w:rPr>
          <w:rFonts w:ascii="Arial"/>
          <w:sz w:val="21"/>
        </w:rPr>
      </w:pPr>
    </w:p>
    <w:p w14:paraId="24C3C79B">
      <w:pPr>
        <w:pStyle w:val="2"/>
        <w:rPr>
          <w:rFonts w:ascii="Arial"/>
          <w:sz w:val="21"/>
        </w:rPr>
      </w:pPr>
    </w:p>
    <w:p w14:paraId="2F1210AC">
      <w:pPr>
        <w:spacing w:line="253" w:lineRule="auto"/>
        <w:rPr>
          <w:rFonts w:ascii="Arial"/>
          <w:sz w:val="21"/>
        </w:rPr>
      </w:pPr>
    </w:p>
    <w:p w14:paraId="0B943FCF">
      <w:pPr>
        <w:spacing w:line="253" w:lineRule="auto"/>
        <w:rPr>
          <w:rFonts w:ascii="Arial"/>
          <w:sz w:val="21"/>
        </w:rPr>
      </w:pPr>
    </w:p>
    <w:p w14:paraId="06D70AC3">
      <w:pPr>
        <w:spacing w:line="253" w:lineRule="auto"/>
        <w:rPr>
          <w:rFonts w:ascii="Arial"/>
          <w:sz w:val="21"/>
        </w:rPr>
      </w:pPr>
    </w:p>
    <w:p w14:paraId="5F05FF00">
      <w:pPr>
        <w:spacing w:line="254" w:lineRule="auto"/>
        <w:rPr>
          <w:rFonts w:ascii="Arial"/>
          <w:sz w:val="21"/>
        </w:rPr>
      </w:pPr>
    </w:p>
    <w:p w14:paraId="55255DDF">
      <w:pPr>
        <w:spacing w:line="254" w:lineRule="auto"/>
        <w:rPr>
          <w:rFonts w:ascii="Arial"/>
          <w:sz w:val="21"/>
        </w:rPr>
      </w:pPr>
    </w:p>
    <w:p w14:paraId="75C611CA">
      <w:pPr>
        <w:pStyle w:val="2"/>
        <w:spacing w:before="64" w:line="360" w:lineRule="auto"/>
        <w:ind w:right="6" w:firstLine="629"/>
        <w:rPr>
          <w:spacing w:val="13"/>
        </w:rPr>
      </w:pPr>
      <w:r>
        <w:rPr>
          <w:spacing w:val="13"/>
        </w:rPr>
        <w:t>甲方[委托方]:</w:t>
      </w:r>
      <w:r>
        <w:rPr>
          <w:rFonts w:hint="eastAsia"/>
          <w:spacing w:val="13"/>
          <w:u w:val="single"/>
          <w:lang w:val="en-US" w:eastAsia="zh-CN"/>
        </w:rPr>
        <w:t>广汉市弘诚金雁宾馆有限责任公司</w:t>
      </w:r>
      <w:r>
        <w:rPr>
          <w:spacing w:val="13"/>
          <w:u w:val="single"/>
        </w:rPr>
        <w:t xml:space="preserve"> </w:t>
      </w:r>
    </w:p>
    <w:p w14:paraId="3F176348">
      <w:pPr>
        <w:pStyle w:val="2"/>
        <w:spacing w:before="64" w:line="360" w:lineRule="auto"/>
        <w:ind w:right="6" w:firstLine="629"/>
        <w:rPr>
          <w:spacing w:val="-15"/>
        </w:rPr>
      </w:pPr>
      <w:r>
        <w:rPr>
          <w:spacing w:val="13"/>
        </w:rPr>
        <w:t>乙方[受托方]:</w:t>
      </w:r>
      <w:r>
        <w:rPr>
          <w:rFonts w:hint="eastAsia"/>
          <w:spacing w:val="13"/>
          <w:u w:val="single"/>
          <w:lang w:val="en-US" w:eastAsia="zh-CN"/>
        </w:rPr>
        <w:t xml:space="preserve">                              </w:t>
      </w:r>
    </w:p>
    <w:p w14:paraId="76B99A14">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p>
    <w:p w14:paraId="141E21C5">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根据《民法典》及相关的法律法规，经双方友好协商，甲方委托乙方进行消防</w:t>
      </w:r>
      <w:r>
        <w:rPr>
          <w:rFonts w:hint="eastAsia" w:ascii="Times New Roman" w:hAnsi="Times New Roman" w:eastAsia="方正仿宋简体" w:cs="Times New Roman"/>
          <w:b w:val="0"/>
          <w:bCs w:val="0"/>
          <w:spacing w:val="2"/>
          <w:position w:val="1"/>
          <w:sz w:val="32"/>
          <w:szCs w:val="32"/>
          <w:lang w:val="en-US" w:eastAsia="zh-CN"/>
        </w:rPr>
        <w:t>技术服务</w:t>
      </w:r>
      <w:r>
        <w:rPr>
          <w:rFonts w:hint="default" w:ascii="Times New Roman" w:hAnsi="Times New Roman" w:eastAsia="方正仿宋简体" w:cs="Times New Roman"/>
          <w:b w:val="0"/>
          <w:bCs w:val="0"/>
          <w:spacing w:val="2"/>
          <w:position w:val="1"/>
          <w:sz w:val="32"/>
          <w:szCs w:val="32"/>
          <w:lang w:val="en-US" w:eastAsia="zh-CN"/>
        </w:rPr>
        <w:t>，达成如下合同条款。</w:t>
      </w:r>
    </w:p>
    <w:p w14:paraId="0B450706">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en-US"/>
        </w:rPr>
        <w:t>为保证甲方消防设施的正常运行，</w:t>
      </w:r>
      <w:r>
        <w:rPr>
          <w:rFonts w:hint="eastAsia" w:ascii="Times New Roman" w:hAnsi="Times New Roman" w:eastAsia="方正仿宋简体" w:cs="Times New Roman"/>
          <w:b w:val="0"/>
          <w:bCs w:val="0"/>
          <w:spacing w:val="2"/>
          <w:position w:val="1"/>
          <w:sz w:val="32"/>
          <w:szCs w:val="32"/>
          <w:lang w:val="en-US" w:eastAsia="en-US"/>
        </w:rPr>
        <w:t>消防系统处于最佳的工作状态，真正起到自动报警和灭火的功能，保障</w:t>
      </w:r>
      <w:r>
        <w:rPr>
          <w:rFonts w:hint="eastAsia" w:ascii="Times New Roman" w:hAnsi="Times New Roman" w:eastAsia="方正仿宋简体" w:cs="Times New Roman"/>
          <w:b w:val="0"/>
          <w:bCs w:val="0"/>
          <w:spacing w:val="2"/>
          <w:position w:val="1"/>
          <w:sz w:val="32"/>
          <w:szCs w:val="32"/>
          <w:lang w:val="en-US" w:eastAsia="zh-CN"/>
        </w:rPr>
        <w:t>经营区域</w:t>
      </w:r>
      <w:r>
        <w:rPr>
          <w:rFonts w:hint="eastAsia" w:ascii="Times New Roman" w:hAnsi="Times New Roman" w:eastAsia="方正仿宋简体" w:cs="Times New Roman"/>
          <w:b w:val="0"/>
          <w:bCs w:val="0"/>
          <w:spacing w:val="2"/>
          <w:position w:val="1"/>
          <w:sz w:val="32"/>
          <w:szCs w:val="32"/>
          <w:lang w:val="en-US" w:eastAsia="en-US"/>
        </w:rPr>
        <w:t>设施、设备及人身财产的安全，根据我国</w:t>
      </w:r>
      <w:r>
        <w:rPr>
          <w:rFonts w:hint="eastAsia" w:ascii="Times New Roman" w:hAnsi="Times New Roman" w:eastAsia="方正仿宋简体" w:cs="Times New Roman"/>
          <w:b w:val="0"/>
          <w:bCs w:val="0"/>
          <w:spacing w:val="2"/>
          <w:position w:val="1"/>
          <w:sz w:val="32"/>
          <w:szCs w:val="32"/>
          <w:lang w:val="en-US" w:eastAsia="zh-CN"/>
        </w:rPr>
        <w:t>《中华人民共和国民法典》、</w:t>
      </w:r>
      <w:r>
        <w:rPr>
          <w:rFonts w:hint="eastAsia" w:ascii="Times New Roman" w:hAnsi="Times New Roman" w:eastAsia="方正仿宋简体" w:cs="Times New Roman"/>
          <w:b w:val="0"/>
          <w:bCs w:val="0"/>
          <w:spacing w:val="2"/>
          <w:position w:val="1"/>
          <w:sz w:val="32"/>
          <w:szCs w:val="32"/>
          <w:lang w:val="en-US" w:eastAsia="en-US"/>
        </w:rPr>
        <w:t>《</w:t>
      </w:r>
      <w:r>
        <w:rPr>
          <w:rFonts w:hint="eastAsia" w:ascii="Times New Roman" w:hAnsi="Times New Roman" w:eastAsia="方正仿宋简体" w:cs="Times New Roman"/>
          <w:b w:val="0"/>
          <w:bCs w:val="0"/>
          <w:spacing w:val="2"/>
          <w:position w:val="1"/>
          <w:sz w:val="32"/>
          <w:szCs w:val="32"/>
          <w:lang w:val="en-US" w:eastAsia="zh-CN"/>
        </w:rPr>
        <w:t>中华人民共和国</w:t>
      </w:r>
      <w:r>
        <w:rPr>
          <w:rFonts w:hint="eastAsia" w:ascii="Times New Roman" w:hAnsi="Times New Roman" w:eastAsia="方正仿宋简体" w:cs="Times New Roman"/>
          <w:b w:val="0"/>
          <w:bCs w:val="0"/>
          <w:spacing w:val="2"/>
          <w:position w:val="1"/>
          <w:sz w:val="32"/>
          <w:szCs w:val="32"/>
          <w:lang w:val="en-US" w:eastAsia="en-US"/>
        </w:rPr>
        <w:t>消防法》及其有关规定，甲乙双方经友好协商，</w:t>
      </w:r>
      <w:r>
        <w:rPr>
          <w:rFonts w:hint="eastAsia" w:ascii="Times New Roman" w:hAnsi="Times New Roman" w:eastAsia="方正仿宋简体" w:cs="Times New Roman"/>
          <w:b w:val="0"/>
          <w:bCs w:val="0"/>
          <w:spacing w:val="2"/>
          <w:position w:val="1"/>
          <w:sz w:val="32"/>
          <w:szCs w:val="32"/>
          <w:lang w:val="en-US" w:eastAsia="zh-CN"/>
        </w:rPr>
        <w:t>达成以下条款</w:t>
      </w:r>
      <w:r>
        <w:rPr>
          <w:rFonts w:hint="eastAsia" w:ascii="Times New Roman" w:hAnsi="Times New Roman" w:eastAsia="方正仿宋简体" w:cs="Times New Roman"/>
          <w:b w:val="0"/>
          <w:bCs w:val="0"/>
          <w:spacing w:val="2"/>
          <w:position w:val="1"/>
          <w:sz w:val="32"/>
          <w:szCs w:val="32"/>
          <w:lang w:val="en-US" w:eastAsia="en-US"/>
        </w:rPr>
        <w:t>供双方共同遵守。</w:t>
      </w:r>
    </w:p>
    <w:p w14:paraId="7897A531">
      <w:pPr>
        <w:keepNext w:val="0"/>
        <w:keepLines w:val="0"/>
        <w:pageBreakBefore w:val="0"/>
        <w:widowControl/>
        <w:kinsoku/>
        <w:wordWrap w:val="0"/>
        <w:overflowPunct/>
        <w:topLinePunct/>
        <w:autoSpaceDE/>
        <w:autoSpaceDN/>
        <w:bidi w:val="0"/>
        <w:adjustRightInd w:val="0"/>
        <w:snapToGrid w:val="0"/>
        <w:spacing w:before="68" w:line="560" w:lineRule="exact"/>
        <w:ind w:left="4" w:firstLine="627" w:firstLineChars="200"/>
        <w:textAlignment w:val="baseline"/>
        <w:outlineLvl w:val="2"/>
        <w:rPr>
          <w:rFonts w:ascii="黑体" w:hAnsi="黑体" w:eastAsia="黑体" w:cs="黑体"/>
          <w:sz w:val="32"/>
          <w:szCs w:val="32"/>
        </w:rPr>
      </w:pPr>
      <w:r>
        <w:rPr>
          <w:rFonts w:ascii="黑体" w:hAnsi="黑体" w:eastAsia="黑体" w:cs="黑体"/>
          <w:b/>
          <w:bCs/>
          <w:spacing w:val="-4"/>
          <w:sz w:val="32"/>
          <w:szCs w:val="32"/>
        </w:rPr>
        <w:t>一</w:t>
      </w:r>
      <w:r>
        <w:rPr>
          <w:rFonts w:ascii="黑体" w:hAnsi="黑体" w:eastAsia="黑体" w:cs="黑体"/>
          <w:spacing w:val="-75"/>
          <w:sz w:val="32"/>
          <w:szCs w:val="32"/>
        </w:rPr>
        <w:t xml:space="preserve"> </w:t>
      </w:r>
      <w:r>
        <w:rPr>
          <w:rFonts w:ascii="黑体" w:hAnsi="黑体" w:eastAsia="黑体" w:cs="黑体"/>
          <w:b/>
          <w:bCs/>
          <w:spacing w:val="-4"/>
          <w:sz w:val="32"/>
          <w:szCs w:val="32"/>
        </w:rPr>
        <w:t>.项目概况：</w:t>
      </w:r>
    </w:p>
    <w:p w14:paraId="129C5BA9">
      <w:pPr>
        <w:pStyle w:val="2"/>
        <w:keepNext w:val="0"/>
        <w:keepLines w:val="0"/>
        <w:pageBreakBefore w:val="0"/>
        <w:widowControl/>
        <w:kinsoku/>
        <w:wordWrap w:val="0"/>
        <w:overflowPunct/>
        <w:topLinePunct/>
        <w:autoSpaceDE/>
        <w:autoSpaceDN/>
        <w:bidi w:val="0"/>
        <w:spacing w:before="250" w:line="500" w:lineRule="exact"/>
        <w:ind w:left="629"/>
        <w:rPr>
          <w:rFonts w:hint="eastAsia" w:eastAsia="仿宋"/>
          <w:lang w:eastAsia="zh-CN"/>
        </w:rPr>
      </w:pPr>
      <w:r>
        <w:rPr>
          <w:spacing w:val="2"/>
        </w:rPr>
        <w:t>项目</w:t>
      </w:r>
      <w:r>
        <w:rPr>
          <w:color w:val="AC5B5E"/>
          <w:spacing w:val="2"/>
        </w:rPr>
        <w:t>名</w:t>
      </w:r>
      <w:r>
        <w:rPr>
          <w:spacing w:val="2"/>
        </w:rPr>
        <w:t>称：</w:t>
      </w:r>
      <w:r>
        <w:rPr>
          <w:spacing w:val="2"/>
          <w:u w:val="single" w:color="auto"/>
        </w:rPr>
        <w:t>金雁宾馆消防</w:t>
      </w:r>
      <w:r>
        <w:rPr>
          <w:rFonts w:hint="eastAsia"/>
          <w:spacing w:val="2"/>
          <w:u w:val="single" w:color="auto"/>
          <w:lang w:val="en-US" w:eastAsia="zh-CN"/>
        </w:rPr>
        <w:t>技术服务</w:t>
      </w:r>
    </w:p>
    <w:p w14:paraId="792151F3">
      <w:pPr>
        <w:pStyle w:val="2"/>
        <w:keepNext w:val="0"/>
        <w:keepLines w:val="0"/>
        <w:pageBreakBefore w:val="0"/>
        <w:widowControl/>
        <w:kinsoku/>
        <w:wordWrap w:val="0"/>
        <w:overflowPunct/>
        <w:topLinePunct/>
        <w:autoSpaceDE/>
        <w:autoSpaceDN/>
        <w:bidi w:val="0"/>
        <w:spacing w:before="212" w:line="500" w:lineRule="exact"/>
        <w:ind w:left="629"/>
      </w:pPr>
      <w:r>
        <w:rPr>
          <w:color w:val="AC5B5E"/>
          <w:spacing w:val="4"/>
        </w:rPr>
        <w:t>项</w:t>
      </w:r>
      <w:r>
        <w:rPr>
          <w:spacing w:val="4"/>
        </w:rPr>
        <w:t>目</w:t>
      </w:r>
      <w:r>
        <w:rPr>
          <w:color w:val="AC5B5E"/>
          <w:spacing w:val="4"/>
        </w:rPr>
        <w:t>地</w:t>
      </w:r>
      <w:r>
        <w:rPr>
          <w:spacing w:val="4"/>
        </w:rPr>
        <w:t>点：</w:t>
      </w:r>
      <w:r>
        <w:rPr>
          <w:spacing w:val="4"/>
          <w:u w:val="single" w:color="auto"/>
        </w:rPr>
        <w:t>广汉市金雁湖公园内</w:t>
      </w:r>
    </w:p>
    <w:p w14:paraId="019F2B94">
      <w:pPr>
        <w:pStyle w:val="2"/>
        <w:keepNext w:val="0"/>
        <w:keepLines w:val="0"/>
        <w:pageBreakBefore w:val="0"/>
        <w:widowControl/>
        <w:kinsoku/>
        <w:wordWrap w:val="0"/>
        <w:overflowPunct/>
        <w:topLinePunct/>
        <w:autoSpaceDE/>
        <w:autoSpaceDN/>
        <w:bidi w:val="0"/>
        <w:spacing w:before="244" w:line="500" w:lineRule="exact"/>
        <w:ind w:left="629"/>
      </w:pPr>
      <w:r>
        <w:rPr>
          <w:spacing w:val="-12"/>
        </w:rPr>
        <w:t>维保区域：</w:t>
      </w:r>
      <w:r>
        <w:rPr>
          <w:spacing w:val="2"/>
          <w:u w:val="single" w:color="auto"/>
        </w:rPr>
        <w:t>金雁宾馆区域内</w:t>
      </w:r>
    </w:p>
    <w:p w14:paraId="16B08901">
      <w:pPr>
        <w:pStyle w:val="2"/>
        <w:keepNext w:val="0"/>
        <w:keepLines w:val="0"/>
        <w:pageBreakBefore w:val="0"/>
        <w:widowControl/>
        <w:kinsoku/>
        <w:wordWrap w:val="0"/>
        <w:overflowPunct/>
        <w:topLinePunct/>
        <w:autoSpaceDE/>
        <w:autoSpaceDN/>
        <w:bidi w:val="0"/>
        <w:spacing w:before="223" w:line="500" w:lineRule="exact"/>
        <w:ind w:left="629"/>
        <w:rPr>
          <w:rFonts w:ascii="宋体" w:hAnsi="宋体" w:eastAsia="宋体" w:cs="宋体"/>
        </w:rPr>
      </w:pPr>
      <w:r>
        <w:rPr>
          <w:spacing w:val="-3"/>
        </w:rPr>
        <w:t>建筑面积：</w:t>
      </w:r>
      <w:r>
        <w:rPr>
          <w:rFonts w:ascii="宋体" w:hAnsi="宋体" w:eastAsia="宋体" w:cs="宋体"/>
          <w:spacing w:val="-3"/>
          <w:u w:val="single" w:color="auto"/>
        </w:rPr>
        <w:t>12513.08m²</w:t>
      </w:r>
    </w:p>
    <w:p w14:paraId="58C969DA">
      <w:pPr>
        <w:keepNext w:val="0"/>
        <w:keepLines w:val="0"/>
        <w:pageBreakBefore w:val="0"/>
        <w:widowControl/>
        <w:kinsoku/>
        <w:wordWrap w:val="0"/>
        <w:overflowPunct/>
        <w:topLinePunct/>
        <w:autoSpaceDE/>
        <w:autoSpaceDN/>
        <w:bidi w:val="0"/>
        <w:spacing w:before="210" w:line="500" w:lineRule="exact"/>
        <w:ind w:left="4" w:firstLine="582" w:firstLineChars="200"/>
        <w:outlineLvl w:val="2"/>
        <w:rPr>
          <w:rFonts w:ascii="黑体" w:hAnsi="黑体" w:eastAsia="黑体" w:cs="黑体"/>
          <w:sz w:val="31"/>
          <w:szCs w:val="31"/>
        </w:rPr>
      </w:pPr>
      <w:r>
        <w:rPr>
          <w:rFonts w:ascii="黑体" w:hAnsi="黑体" w:eastAsia="黑体" w:cs="黑体"/>
          <w:b/>
          <w:bCs/>
          <w:spacing w:val="-10"/>
          <w:sz w:val="31"/>
          <w:szCs w:val="31"/>
        </w:rPr>
        <w:t>二</w:t>
      </w:r>
      <w:r>
        <w:rPr>
          <w:rFonts w:ascii="黑体" w:hAnsi="黑体" w:eastAsia="黑体" w:cs="黑体"/>
          <w:spacing w:val="-80"/>
          <w:sz w:val="31"/>
          <w:szCs w:val="31"/>
        </w:rPr>
        <w:t xml:space="preserve"> </w:t>
      </w:r>
      <w:r>
        <w:rPr>
          <w:rFonts w:ascii="黑体" w:hAnsi="黑体" w:eastAsia="黑体" w:cs="黑体"/>
          <w:b/>
          <w:bCs/>
          <w:spacing w:val="-10"/>
          <w:sz w:val="31"/>
          <w:szCs w:val="31"/>
        </w:rPr>
        <w:t>、</w:t>
      </w:r>
      <w:r>
        <w:rPr>
          <w:rFonts w:hint="eastAsia" w:ascii="黑体" w:hAnsi="黑体" w:eastAsia="黑体" w:cs="黑体"/>
          <w:b/>
          <w:bCs/>
          <w:spacing w:val="-10"/>
          <w:sz w:val="31"/>
          <w:szCs w:val="31"/>
          <w:lang w:val="en-US" w:eastAsia="zh-CN"/>
        </w:rPr>
        <w:t>技术服务</w:t>
      </w:r>
      <w:r>
        <w:rPr>
          <w:rFonts w:ascii="黑体" w:hAnsi="黑体" w:eastAsia="黑体" w:cs="黑体"/>
          <w:b/>
          <w:bCs/>
          <w:spacing w:val="-10"/>
          <w:sz w:val="31"/>
          <w:szCs w:val="31"/>
        </w:rPr>
        <w:t>范围</w:t>
      </w:r>
      <w:r>
        <w:rPr>
          <w:rFonts w:hint="eastAsia" w:ascii="黑体" w:hAnsi="黑体" w:eastAsia="黑体" w:cs="黑体"/>
          <w:b/>
          <w:bCs/>
          <w:spacing w:val="-10"/>
          <w:sz w:val="31"/>
          <w:szCs w:val="31"/>
          <w:lang w:val="en-US" w:eastAsia="zh-CN"/>
        </w:rPr>
        <w:t>及内容</w:t>
      </w:r>
      <w:r>
        <w:rPr>
          <w:rFonts w:ascii="黑体" w:hAnsi="黑体" w:eastAsia="黑体" w:cs="黑体"/>
          <w:b/>
          <w:bCs/>
          <w:spacing w:val="-10"/>
          <w:sz w:val="31"/>
          <w:szCs w:val="31"/>
        </w:rPr>
        <w:t>：</w:t>
      </w:r>
    </w:p>
    <w:p w14:paraId="697E253A">
      <w:pPr>
        <w:keepNext w:val="0"/>
        <w:keepLines w:val="0"/>
        <w:pageBreakBefore w:val="0"/>
        <w:widowControl/>
        <w:kinsoku/>
        <w:wordWrap w:val="0"/>
        <w:overflowPunct/>
        <w:topLinePunct/>
        <w:autoSpaceDE/>
        <w:autoSpaceDN/>
        <w:bidi w:val="0"/>
        <w:adjustRightInd/>
        <w:snapToGrid/>
        <w:spacing w:line="500" w:lineRule="exact"/>
        <w:ind w:firstLine="640" w:firstLineChars="200"/>
        <w:textAlignment w:val="auto"/>
        <w:rPr>
          <w:rFonts w:hint="eastAsia" w:ascii="方正楷体简体" w:hAnsi="方正楷体简体" w:eastAsia="方正楷体简体" w:cs="方正楷体简体"/>
          <w:b w:val="0"/>
          <w:bCs w:val="0"/>
          <w:color w:val="auto"/>
          <w:kern w:val="0"/>
          <w:sz w:val="32"/>
          <w:szCs w:val="32"/>
          <w:lang w:val="en-US" w:eastAsia="zh-CN" w:bidi="ar"/>
        </w:rPr>
      </w:pPr>
      <w:r>
        <w:rPr>
          <w:rFonts w:hint="eastAsia" w:ascii="方正楷体简体" w:hAnsi="方正楷体简体" w:eastAsia="方正楷体简体" w:cs="方正楷体简体"/>
          <w:b w:val="0"/>
          <w:bCs w:val="0"/>
          <w:color w:val="auto"/>
          <w:kern w:val="0"/>
          <w:sz w:val="32"/>
          <w:szCs w:val="32"/>
          <w:lang w:val="en-US" w:eastAsia="zh-CN" w:bidi="ar"/>
        </w:rPr>
        <w:t>（一）消防设施及对象</w:t>
      </w:r>
    </w:p>
    <w:tbl>
      <w:tblPr>
        <w:tblStyle w:val="4"/>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2326"/>
        <w:gridCol w:w="6351"/>
      </w:tblGrid>
      <w:tr w14:paraId="0BBA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440" w:type="dxa"/>
            <w:gridSpan w:val="3"/>
            <w:tcBorders>
              <w:top w:val="single" w:color="auto" w:sz="4" w:space="0"/>
              <w:left w:val="single" w:color="auto" w:sz="4" w:space="0"/>
              <w:bottom w:val="nil"/>
              <w:right w:val="single" w:color="auto" w:sz="4" w:space="0"/>
            </w:tcBorders>
            <w:noWrap/>
            <w:vAlign w:val="center"/>
          </w:tcPr>
          <w:p w14:paraId="08A6A0D4">
            <w:pPr>
              <w:keepNext w:val="0"/>
              <w:keepLines w:val="0"/>
              <w:pageBreakBefore w:val="0"/>
              <w:widowControl/>
              <w:suppressLineNumbers w:val="0"/>
              <w:kinsoku/>
              <w:wordWrap w:val="0"/>
              <w:overflowPunct/>
              <w:topLinePunct/>
              <w:autoSpaceDE/>
              <w:autoSpaceDN/>
              <w:bidi w:val="0"/>
              <w:adjustRightInd w:val="0"/>
              <w:snapToGrid w:val="0"/>
              <w:spacing w:line="300" w:lineRule="exact"/>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维保消防设施设备（确保正常运行、完好有效）</w:t>
            </w:r>
          </w:p>
        </w:tc>
      </w:tr>
      <w:tr w14:paraId="389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763" w:type="dxa"/>
            <w:tcBorders>
              <w:top w:val="single" w:color="000000" w:sz="4" w:space="0"/>
              <w:left w:val="single" w:color="auto" w:sz="4" w:space="0"/>
              <w:bottom w:val="single" w:color="000000" w:sz="4" w:space="0"/>
              <w:right w:val="single" w:color="000000" w:sz="4" w:space="0"/>
            </w:tcBorders>
            <w:noWrap/>
            <w:vAlign w:val="center"/>
          </w:tcPr>
          <w:p w14:paraId="2C2D653F">
            <w:pPr>
              <w:keepNext w:val="0"/>
              <w:keepLines w:val="0"/>
              <w:pageBreakBefore w:val="0"/>
              <w:widowControl/>
              <w:suppressLineNumbers w:val="0"/>
              <w:kinsoku/>
              <w:wordWrap w:val="0"/>
              <w:overflowPunct/>
              <w:topLinePunct/>
              <w:autoSpaceDE/>
              <w:autoSpaceDN/>
              <w:bidi w:val="0"/>
              <w:adjustRightInd w:val="0"/>
              <w:snapToGrid w:val="0"/>
              <w:spacing w:line="300" w:lineRule="exact"/>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序号</w:t>
            </w:r>
          </w:p>
        </w:tc>
        <w:tc>
          <w:tcPr>
            <w:tcW w:w="2326" w:type="dxa"/>
            <w:tcBorders>
              <w:top w:val="single" w:color="000000" w:sz="4" w:space="0"/>
              <w:left w:val="single" w:color="000000" w:sz="4" w:space="0"/>
              <w:bottom w:val="single" w:color="000000" w:sz="4" w:space="0"/>
              <w:right w:val="single" w:color="000000" w:sz="4" w:space="0"/>
            </w:tcBorders>
            <w:noWrap/>
            <w:vAlign w:val="center"/>
          </w:tcPr>
          <w:p w14:paraId="5A977EE1">
            <w:pPr>
              <w:keepNext w:val="0"/>
              <w:keepLines w:val="0"/>
              <w:pageBreakBefore w:val="0"/>
              <w:widowControl/>
              <w:suppressLineNumbers w:val="0"/>
              <w:kinsoku/>
              <w:wordWrap w:val="0"/>
              <w:overflowPunct/>
              <w:topLinePunct/>
              <w:autoSpaceDE/>
              <w:autoSpaceDN/>
              <w:bidi w:val="0"/>
              <w:adjustRightInd w:val="0"/>
              <w:snapToGrid w:val="0"/>
              <w:spacing w:line="300" w:lineRule="exact"/>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建筑消防设施</w:t>
            </w:r>
          </w:p>
        </w:tc>
        <w:tc>
          <w:tcPr>
            <w:tcW w:w="6351" w:type="dxa"/>
            <w:tcBorders>
              <w:top w:val="single" w:color="000000" w:sz="4" w:space="0"/>
              <w:left w:val="single" w:color="000000" w:sz="4" w:space="0"/>
              <w:bottom w:val="single" w:color="000000" w:sz="4" w:space="0"/>
              <w:right w:val="single" w:color="auto" w:sz="4" w:space="0"/>
            </w:tcBorders>
            <w:noWrap/>
            <w:vAlign w:val="center"/>
          </w:tcPr>
          <w:p w14:paraId="1ED3772D">
            <w:pPr>
              <w:keepNext w:val="0"/>
              <w:keepLines w:val="0"/>
              <w:pageBreakBefore w:val="0"/>
              <w:widowControl/>
              <w:suppressLineNumbers w:val="0"/>
              <w:kinsoku/>
              <w:wordWrap w:val="0"/>
              <w:overflowPunct/>
              <w:topLinePunct/>
              <w:autoSpaceDE/>
              <w:autoSpaceDN/>
              <w:bidi w:val="0"/>
              <w:adjustRightInd w:val="0"/>
              <w:snapToGrid w:val="0"/>
              <w:spacing w:line="300" w:lineRule="exact"/>
              <w:jc w:val="center"/>
              <w:textAlignment w:val="center"/>
              <w:rPr>
                <w:rFonts w:hint="eastAsia" w:ascii="方正楷体简体" w:hAnsi="方正楷体简体" w:eastAsia="方正楷体简体" w:cs="方正楷体简体"/>
                <w:b/>
                <w:bCs/>
                <w:i w:val="0"/>
                <w:iCs w:val="0"/>
                <w:color w:val="000000"/>
                <w:sz w:val="28"/>
                <w:szCs w:val="28"/>
                <w:u w:val="none"/>
              </w:rPr>
            </w:pPr>
            <w:r>
              <w:rPr>
                <w:rFonts w:hint="eastAsia" w:ascii="方正楷体简体" w:hAnsi="方正楷体简体" w:eastAsia="方正楷体简体" w:cs="方正楷体简体"/>
                <w:b/>
                <w:bCs/>
                <w:i w:val="0"/>
                <w:iCs w:val="0"/>
                <w:color w:val="000000"/>
                <w:kern w:val="0"/>
                <w:sz w:val="28"/>
                <w:szCs w:val="28"/>
                <w:u w:val="none"/>
                <w:lang w:val="en-US" w:eastAsia="zh-CN" w:bidi="ar"/>
              </w:rPr>
              <w:t>维护保养具体对象</w:t>
            </w:r>
          </w:p>
        </w:tc>
      </w:tr>
      <w:tr w14:paraId="42A6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763" w:type="dxa"/>
            <w:tcBorders>
              <w:top w:val="single" w:color="000000" w:sz="4" w:space="0"/>
              <w:left w:val="single" w:color="auto" w:sz="4" w:space="0"/>
              <w:bottom w:val="single" w:color="000000" w:sz="4" w:space="0"/>
              <w:right w:val="single" w:color="000000" w:sz="4" w:space="0"/>
            </w:tcBorders>
            <w:noWrap/>
            <w:vAlign w:val="center"/>
          </w:tcPr>
          <w:p w14:paraId="725E6E05">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51B0D1C4">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火灾自动报警系统</w:t>
            </w:r>
          </w:p>
        </w:tc>
        <w:tc>
          <w:tcPr>
            <w:tcW w:w="6351" w:type="dxa"/>
            <w:tcBorders>
              <w:top w:val="single" w:color="000000" w:sz="4" w:space="0"/>
              <w:left w:val="single" w:color="000000" w:sz="4" w:space="0"/>
              <w:bottom w:val="single" w:color="000000" w:sz="4" w:space="0"/>
              <w:right w:val="single" w:color="auto" w:sz="4" w:space="0"/>
            </w:tcBorders>
            <w:noWrap w:val="0"/>
            <w:vAlign w:val="center"/>
          </w:tcPr>
          <w:p w14:paraId="25FB62FF">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火灾探测器、手动火灾报警按钮、手动声光警报器、消防专用电话、火灾报警控制器、消防联动控制器和控制模块、线路、备用电源等</w:t>
            </w:r>
          </w:p>
        </w:tc>
      </w:tr>
      <w:tr w14:paraId="17E8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763" w:type="dxa"/>
            <w:tcBorders>
              <w:top w:val="single" w:color="000000" w:sz="4" w:space="0"/>
              <w:left w:val="single" w:color="auto" w:sz="4" w:space="0"/>
              <w:bottom w:val="single" w:color="000000" w:sz="4" w:space="0"/>
              <w:right w:val="single" w:color="000000" w:sz="4" w:space="0"/>
            </w:tcBorders>
            <w:noWrap/>
            <w:vAlign w:val="center"/>
          </w:tcPr>
          <w:p w14:paraId="2B1FBF2E">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7A341D73">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自动喷淋灭火系统</w:t>
            </w:r>
          </w:p>
        </w:tc>
        <w:tc>
          <w:tcPr>
            <w:tcW w:w="6351" w:type="dxa"/>
            <w:tcBorders>
              <w:top w:val="single" w:color="000000" w:sz="4" w:space="0"/>
              <w:left w:val="single" w:color="000000" w:sz="4" w:space="0"/>
              <w:bottom w:val="single" w:color="000000" w:sz="4" w:space="0"/>
              <w:right w:val="single" w:color="auto" w:sz="4" w:space="0"/>
            </w:tcBorders>
            <w:noWrap w:val="0"/>
            <w:vAlign w:val="center"/>
          </w:tcPr>
          <w:p w14:paraId="24FB5ED6">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闭式喷头、湿式报警阀组、水流指示器、压力开关、供水与配水管道、未端试水装置、报警控制器、消防水箱、消防水泵、水泵控制柜、稳压泵及稳压设备、各类阀门（止回阀、闸阀、泄水阀、信号阀等）等</w:t>
            </w:r>
          </w:p>
        </w:tc>
      </w:tr>
      <w:tr w14:paraId="7D2D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63" w:type="dxa"/>
            <w:tcBorders>
              <w:top w:val="single" w:color="000000" w:sz="4" w:space="0"/>
              <w:left w:val="single" w:color="auto" w:sz="4" w:space="0"/>
              <w:bottom w:val="single" w:color="auto" w:sz="4" w:space="0"/>
              <w:right w:val="single" w:color="000000" w:sz="4" w:space="0"/>
            </w:tcBorders>
            <w:noWrap/>
            <w:vAlign w:val="center"/>
          </w:tcPr>
          <w:p w14:paraId="4CA44F51">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3</w:t>
            </w:r>
          </w:p>
        </w:tc>
        <w:tc>
          <w:tcPr>
            <w:tcW w:w="2326" w:type="dxa"/>
            <w:tcBorders>
              <w:top w:val="single" w:color="000000" w:sz="4" w:space="0"/>
              <w:left w:val="single" w:color="000000" w:sz="4" w:space="0"/>
              <w:bottom w:val="single" w:color="auto" w:sz="4" w:space="0"/>
              <w:right w:val="single" w:color="000000" w:sz="4" w:space="0"/>
            </w:tcBorders>
            <w:noWrap w:val="0"/>
            <w:vAlign w:val="center"/>
          </w:tcPr>
          <w:p w14:paraId="0250C514">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气体灭火系统</w:t>
            </w:r>
          </w:p>
        </w:tc>
        <w:tc>
          <w:tcPr>
            <w:tcW w:w="6351" w:type="dxa"/>
            <w:tcBorders>
              <w:top w:val="single" w:color="000000" w:sz="4" w:space="0"/>
              <w:left w:val="single" w:color="000000" w:sz="4" w:space="0"/>
              <w:bottom w:val="single" w:color="auto" w:sz="4" w:space="0"/>
              <w:right w:val="single" w:color="auto" w:sz="4" w:space="0"/>
            </w:tcBorders>
            <w:noWrap w:val="0"/>
            <w:vAlign w:val="center"/>
          </w:tcPr>
          <w:p w14:paraId="2653B5D8">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灭火剂及储存装置、启动分配装置、输送释放装置、监控装置、控制主机、警示灯具等</w:t>
            </w:r>
          </w:p>
        </w:tc>
      </w:tr>
      <w:tr w14:paraId="6758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7DE717EC">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54036533">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防烟排烟系统</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3C39E542">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机械加压送风系统的送风口、送风管道、送风机、控制设备及电路设备；机械排烟系统的档烟垂壁、排烟口、排烟防火阀、排烟管道、排烟风机、排烟出口、控制设备及电路设备</w:t>
            </w:r>
          </w:p>
        </w:tc>
      </w:tr>
      <w:tr w14:paraId="129D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42D7FA44">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5</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67E98F09">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应急广播系统</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03DC5E36">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应急广播主机、功放、线路、音响等</w:t>
            </w:r>
          </w:p>
        </w:tc>
      </w:tr>
      <w:tr w14:paraId="00D9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5D6F1856">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6</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4CAEE368">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应急照明系统</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69A6902E">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应急照明灯、应急电源线路、集中式应急供电设施设备、应急电源、控制器等</w:t>
            </w:r>
          </w:p>
        </w:tc>
      </w:tr>
      <w:tr w14:paraId="2A8A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729C0E32">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0BCF7166">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疏散指示系统</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0761EB19">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疏散指示灯、应急电源线路、控制器等</w:t>
            </w:r>
          </w:p>
        </w:tc>
      </w:tr>
      <w:tr w14:paraId="1280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7BD8DB98">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8</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60E1EA88">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防火分隔系统</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62A86380">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防火卷帘、防火门、电源箱、手动控制盒、联动控制模块、防火分隔附设器材等</w:t>
            </w:r>
          </w:p>
        </w:tc>
      </w:tr>
      <w:tr w14:paraId="54F7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07226C9F">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9</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11A302BD">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室内消防栓灭火系统</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73D58F3F">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消防水箱、消防水池、消防水泵、稳压泵、消防供水管道、末端试水装置（压力表）、消火栓、水枪、水带等</w:t>
            </w:r>
          </w:p>
        </w:tc>
      </w:tr>
      <w:tr w14:paraId="052E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7898E1B9">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10</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3C22F3BC">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灭火器</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50F5BDB1">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干粉灭火器、二氧化碳灭火器等</w:t>
            </w:r>
          </w:p>
        </w:tc>
      </w:tr>
      <w:tr w14:paraId="1E2D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43EA5F39">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color w:val="000000"/>
                <w:kern w:val="0"/>
                <w:sz w:val="24"/>
                <w:szCs w:val="24"/>
                <w:u w:val="none"/>
                <w:lang w:val="en-US" w:eastAsia="zh-CN" w:bidi="ar"/>
              </w:rPr>
              <w:t>11</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32B0C4D1">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消防供配电设施</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4B12D905">
            <w:pPr>
              <w:keepNext w:val="0"/>
              <w:keepLines w:val="0"/>
              <w:pageBreakBefore w:val="0"/>
              <w:widowControl/>
              <w:suppressLineNumbers w:val="0"/>
              <w:kinsoku/>
              <w:wordWrap w:val="0"/>
              <w:overflowPunct/>
              <w:topLinePunct/>
              <w:autoSpaceDE/>
              <w:autoSpaceDN/>
              <w:bidi w:val="0"/>
              <w:adjustRightInd w:val="0"/>
              <w:snapToGrid w:val="0"/>
              <w:spacing w:line="340" w:lineRule="exact"/>
              <w:jc w:val="left"/>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color w:val="000000"/>
                <w:kern w:val="0"/>
                <w:sz w:val="24"/>
                <w:szCs w:val="24"/>
                <w:u w:val="none"/>
                <w:lang w:val="en-US" w:eastAsia="zh-CN" w:bidi="ar"/>
              </w:rPr>
              <w:t>消防供电线路、控制箱（柜）、备用电源、柴油发电机</w:t>
            </w:r>
          </w:p>
        </w:tc>
      </w:tr>
      <w:tr w14:paraId="2482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268A094A">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12</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14:paraId="493D5A8B">
            <w:pPr>
              <w:keepNext w:val="0"/>
              <w:keepLines w:val="0"/>
              <w:pageBreakBefore w:val="0"/>
              <w:widowControl/>
              <w:suppressLineNumbers w:val="0"/>
              <w:kinsoku/>
              <w:wordWrap w:val="0"/>
              <w:overflowPunct/>
              <w:topLinePunct/>
              <w:autoSpaceDE/>
              <w:autoSpaceDN/>
              <w:bidi w:val="0"/>
              <w:spacing w:line="360" w:lineRule="auto"/>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消防电话</w:t>
            </w:r>
          </w:p>
        </w:tc>
        <w:tc>
          <w:tcPr>
            <w:tcW w:w="6351" w:type="dxa"/>
            <w:tcBorders>
              <w:top w:val="single" w:color="000000" w:sz="4" w:space="0"/>
              <w:left w:val="single" w:color="000000" w:sz="4" w:space="0"/>
              <w:bottom w:val="single" w:color="000000" w:sz="4" w:space="0"/>
              <w:right w:val="single" w:color="000000" w:sz="4" w:space="0"/>
            </w:tcBorders>
            <w:noWrap w:val="0"/>
            <w:vAlign w:val="center"/>
          </w:tcPr>
          <w:p w14:paraId="5302BD93">
            <w:pPr>
              <w:keepNext w:val="0"/>
              <w:keepLines w:val="0"/>
              <w:pageBreakBefore w:val="0"/>
              <w:widowControl/>
              <w:suppressLineNumbers w:val="0"/>
              <w:kinsoku/>
              <w:wordWrap w:val="0"/>
              <w:overflowPunct/>
              <w:topLinePunct/>
              <w:autoSpaceDE/>
              <w:autoSpaceDN/>
              <w:bidi w:val="0"/>
              <w:adjustRightInd w:val="0"/>
              <w:snapToGrid w:val="0"/>
              <w:spacing w:line="34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消防电话盘、直线电话分机</w:t>
            </w:r>
          </w:p>
        </w:tc>
      </w:tr>
    </w:tbl>
    <w:p w14:paraId="0F40F000">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eastAsia" w:ascii="方正楷体简体" w:hAnsi="方正楷体简体" w:eastAsia="方正楷体简体" w:cs="方正楷体简体"/>
          <w:b w:val="0"/>
          <w:bCs w:val="0"/>
          <w:spacing w:val="2"/>
          <w:position w:val="1"/>
          <w:sz w:val="32"/>
          <w:szCs w:val="32"/>
          <w:lang w:val="en-US" w:eastAsia="zh-CN"/>
        </w:rPr>
      </w:pPr>
      <w:r>
        <w:rPr>
          <w:rFonts w:hint="eastAsia" w:ascii="方正楷体简体" w:hAnsi="方正楷体简体" w:eastAsia="方正楷体简体" w:cs="方正楷体简体"/>
          <w:b w:val="0"/>
          <w:bCs w:val="0"/>
          <w:spacing w:val="2"/>
          <w:position w:val="1"/>
          <w:sz w:val="32"/>
          <w:szCs w:val="32"/>
          <w:lang w:val="en-US" w:eastAsia="zh-CN"/>
        </w:rPr>
        <w:t>（二）维护与保养具体内容</w:t>
      </w:r>
    </w:p>
    <w:p w14:paraId="477FC587">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1.消防供配电设施：每月巡查检查，每季度对备用电源进行1-2次充放电试验、1-2次主电源和备用电源自动切换试验。</w:t>
      </w:r>
    </w:p>
    <w:p w14:paraId="06BB6166">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2.火灾自动报警系统：火灾自动报警控制器、感烟、感温探测器、警铃、控制模块、手动报警按钮触发装置、火灾报警控制器等，定期对感烟、感温探测器进行清洁，必要时进行清洗，确保报警灵敏</w:t>
      </w:r>
      <w:r>
        <w:rPr>
          <w:rFonts w:hint="eastAsia" w:ascii="Times New Roman" w:hAnsi="Times New Roman" w:eastAsia="方正仿宋简体" w:cs="Times New Roman"/>
          <w:b w:val="0"/>
          <w:bCs w:val="0"/>
          <w:spacing w:val="2"/>
          <w:position w:val="1"/>
          <w:sz w:val="32"/>
          <w:szCs w:val="32"/>
          <w:lang w:val="en-US" w:eastAsia="zh-CN"/>
        </w:rPr>
        <w:t>，保障设施设备正常运行</w:t>
      </w:r>
      <w:r>
        <w:rPr>
          <w:rFonts w:hint="default" w:ascii="Times New Roman" w:hAnsi="Times New Roman" w:eastAsia="方正仿宋简体" w:cs="Times New Roman"/>
          <w:b w:val="0"/>
          <w:bCs w:val="0"/>
          <w:spacing w:val="2"/>
          <w:position w:val="1"/>
          <w:sz w:val="32"/>
          <w:szCs w:val="32"/>
          <w:lang w:val="en-US" w:eastAsia="zh-CN"/>
        </w:rPr>
        <w:t>。</w:t>
      </w:r>
    </w:p>
    <w:p w14:paraId="6C555E2B">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3.气体灭火系统：每月对灭火剂及储存装置、启动分配装置、输送释放装置、监控装置、控制主机、警示灯具等进行巡查检查</w:t>
      </w:r>
      <w:r>
        <w:rPr>
          <w:rFonts w:hint="eastAsia" w:ascii="Times New Roman" w:hAnsi="Times New Roman" w:eastAsia="方正仿宋简体" w:cs="Times New Roman"/>
          <w:b w:val="0"/>
          <w:bCs w:val="0"/>
          <w:spacing w:val="2"/>
          <w:position w:val="1"/>
          <w:sz w:val="32"/>
          <w:szCs w:val="32"/>
          <w:lang w:val="en-US" w:eastAsia="zh-CN"/>
        </w:rPr>
        <w:t>，确保设备正常运行</w:t>
      </w:r>
      <w:r>
        <w:rPr>
          <w:rFonts w:hint="default" w:ascii="Times New Roman" w:hAnsi="Times New Roman" w:eastAsia="方正仿宋简体" w:cs="Times New Roman"/>
          <w:b w:val="0"/>
          <w:bCs w:val="0"/>
          <w:spacing w:val="2"/>
          <w:position w:val="1"/>
          <w:sz w:val="32"/>
          <w:szCs w:val="32"/>
          <w:lang w:val="en-US" w:eastAsia="zh-CN"/>
        </w:rPr>
        <w:t>。</w:t>
      </w:r>
    </w:p>
    <w:p w14:paraId="27409B99">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4.自动喷水灭火系统：每月对闭式喷头、湿式报警阀组、水流指示器、压力开关、供水与配水管道、未端试水装置、报警控制器、消防水箱、消防水泵、水泵控制柜、稳压泵及稳压设备、各类阀门（止回阀、闸阀、泄水阀、信号阀等）等进行巡查检查，</w:t>
      </w:r>
      <w:r>
        <w:rPr>
          <w:rFonts w:hint="eastAsia" w:ascii="Times New Roman" w:hAnsi="Times New Roman" w:eastAsia="方正仿宋简体" w:cs="Times New Roman"/>
          <w:b w:val="0"/>
          <w:bCs w:val="0"/>
          <w:spacing w:val="2"/>
          <w:position w:val="1"/>
          <w:sz w:val="32"/>
          <w:szCs w:val="32"/>
          <w:lang w:val="en-US" w:eastAsia="zh-CN"/>
        </w:rPr>
        <w:t>确保设备正常使用及运行</w:t>
      </w:r>
      <w:r>
        <w:rPr>
          <w:rFonts w:hint="default" w:ascii="Times New Roman" w:hAnsi="Times New Roman" w:eastAsia="方正仿宋简体" w:cs="Times New Roman"/>
          <w:b w:val="0"/>
          <w:bCs w:val="0"/>
          <w:spacing w:val="2"/>
          <w:position w:val="1"/>
          <w:sz w:val="32"/>
          <w:szCs w:val="32"/>
          <w:lang w:val="en-US" w:eastAsia="zh-CN"/>
        </w:rPr>
        <w:t>。</w:t>
      </w:r>
    </w:p>
    <w:p w14:paraId="5BC104D3">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5.消防给水及消火栓系统：每月对消防泵进行启动运转试验，并对消防泵进行消火栓按 钮联动启泵试验。每月对系统上所有的控制阀门进行检查，保证控制阀门处于正常工作状态，对室内消火栓箱内的水枪、水带等设备进行检查。做好各类消防管道、阀门及设备的防锈、油漆工作。</w:t>
      </w:r>
    </w:p>
    <w:p w14:paraId="3DAD2D39">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6.防火分隔设施：</w:t>
      </w:r>
      <w:r>
        <w:rPr>
          <w:rFonts w:hint="eastAsia" w:ascii="Times New Roman" w:hAnsi="Times New Roman" w:eastAsia="方正仿宋简体" w:cs="Times New Roman"/>
          <w:b w:val="0"/>
          <w:bCs w:val="0"/>
          <w:spacing w:val="2"/>
          <w:position w:val="1"/>
          <w:sz w:val="32"/>
          <w:szCs w:val="32"/>
          <w:lang w:val="en-US" w:eastAsia="zh-CN"/>
        </w:rPr>
        <w:t>每月对</w:t>
      </w:r>
      <w:r>
        <w:rPr>
          <w:rFonts w:hint="default" w:ascii="Times New Roman" w:hAnsi="Times New Roman" w:eastAsia="方正仿宋简体" w:cs="Times New Roman"/>
          <w:b w:val="0"/>
          <w:bCs w:val="0"/>
          <w:spacing w:val="2"/>
          <w:position w:val="1"/>
          <w:sz w:val="32"/>
          <w:szCs w:val="32"/>
          <w:lang w:val="en-US" w:eastAsia="zh-CN"/>
        </w:rPr>
        <w:t>防火卷帘、防火门、电源箱、手动控制盒、联动控制模块、防火分隔附设器材等</w:t>
      </w:r>
      <w:r>
        <w:rPr>
          <w:rFonts w:hint="eastAsia" w:ascii="Times New Roman" w:hAnsi="Times New Roman" w:eastAsia="方正仿宋简体" w:cs="Times New Roman"/>
          <w:b w:val="0"/>
          <w:bCs w:val="0"/>
          <w:spacing w:val="2"/>
          <w:position w:val="1"/>
          <w:sz w:val="32"/>
          <w:szCs w:val="32"/>
          <w:lang w:val="en-US" w:eastAsia="zh-CN"/>
        </w:rPr>
        <w:t>进行操作，检查设备能否正常运行；每月对</w:t>
      </w:r>
      <w:r>
        <w:rPr>
          <w:rFonts w:hint="default" w:ascii="Times New Roman" w:hAnsi="Times New Roman" w:eastAsia="方正仿宋简体" w:cs="Times New Roman"/>
          <w:b w:val="0"/>
          <w:bCs w:val="0"/>
          <w:spacing w:val="2"/>
          <w:position w:val="1"/>
          <w:sz w:val="32"/>
          <w:szCs w:val="32"/>
          <w:lang w:val="en-US" w:eastAsia="zh-CN"/>
        </w:rPr>
        <w:t>机械加压送风系统的送风口、送风管道、送风机、控制设备及电路设备</w:t>
      </w:r>
      <w:r>
        <w:rPr>
          <w:rFonts w:hint="eastAsia" w:ascii="Times New Roman" w:hAnsi="Times New Roman" w:eastAsia="方正仿宋简体" w:cs="Times New Roman"/>
          <w:b w:val="0"/>
          <w:bCs w:val="0"/>
          <w:spacing w:val="2"/>
          <w:position w:val="1"/>
          <w:sz w:val="32"/>
          <w:szCs w:val="32"/>
          <w:lang w:val="en-US" w:eastAsia="zh-CN"/>
        </w:rPr>
        <w:t>进行检查，保障设施设备正常运行；</w:t>
      </w:r>
      <w:r>
        <w:rPr>
          <w:rFonts w:hint="default" w:ascii="Times New Roman" w:hAnsi="Times New Roman" w:eastAsia="方正仿宋简体" w:cs="Times New Roman"/>
          <w:b w:val="0"/>
          <w:bCs w:val="0"/>
          <w:spacing w:val="2"/>
          <w:position w:val="1"/>
          <w:sz w:val="32"/>
          <w:szCs w:val="32"/>
          <w:lang w:val="en-US" w:eastAsia="zh-CN"/>
        </w:rPr>
        <w:t>机械排烟系统的</w:t>
      </w:r>
      <w:r>
        <w:rPr>
          <w:rFonts w:hint="eastAsia" w:ascii="Times New Roman" w:hAnsi="Times New Roman" w:eastAsia="方正仿宋简体" w:cs="Times New Roman"/>
          <w:b w:val="0"/>
          <w:bCs w:val="0"/>
          <w:spacing w:val="2"/>
          <w:position w:val="1"/>
          <w:sz w:val="32"/>
          <w:szCs w:val="32"/>
          <w:lang w:val="en-US" w:eastAsia="zh-CN"/>
        </w:rPr>
        <w:t>挡</w:t>
      </w:r>
      <w:r>
        <w:rPr>
          <w:rFonts w:hint="default" w:ascii="Times New Roman" w:hAnsi="Times New Roman" w:eastAsia="方正仿宋简体" w:cs="Times New Roman"/>
          <w:b w:val="0"/>
          <w:bCs w:val="0"/>
          <w:spacing w:val="2"/>
          <w:position w:val="1"/>
          <w:sz w:val="32"/>
          <w:szCs w:val="32"/>
          <w:lang w:val="en-US" w:eastAsia="zh-CN"/>
        </w:rPr>
        <w:t>烟垂壁、排烟口、排烟防火阀、排烟管道、排烟风机、排烟出口、控制设备及电路设备</w:t>
      </w:r>
      <w:r>
        <w:rPr>
          <w:rFonts w:hint="eastAsia" w:ascii="Times New Roman" w:hAnsi="Times New Roman" w:eastAsia="方正仿宋简体" w:cs="Times New Roman"/>
          <w:b w:val="0"/>
          <w:bCs w:val="0"/>
          <w:spacing w:val="2"/>
          <w:position w:val="1"/>
          <w:sz w:val="32"/>
          <w:szCs w:val="32"/>
          <w:lang w:val="en-US" w:eastAsia="zh-CN"/>
        </w:rPr>
        <w:t>能正常运行。</w:t>
      </w:r>
    </w:p>
    <w:p w14:paraId="68122CD2">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7</w:t>
      </w:r>
      <w:r>
        <w:rPr>
          <w:rFonts w:hint="default" w:ascii="Times New Roman" w:hAnsi="Times New Roman" w:eastAsia="方正仿宋简体" w:cs="Times New Roman"/>
          <w:b w:val="0"/>
          <w:bCs w:val="0"/>
          <w:spacing w:val="2"/>
          <w:position w:val="1"/>
          <w:sz w:val="32"/>
          <w:szCs w:val="32"/>
          <w:lang w:val="en-US" w:eastAsia="zh-CN"/>
        </w:rPr>
        <w:t>.指示标牌及应急照明：每周检查安全出口、疏散通道、重要场所的应急照明和疏散指示标志是否处于正常完好使用状态。每月试验应急照明灯和疏散指示灯切断电源后是否能正常工作。</w:t>
      </w:r>
    </w:p>
    <w:p w14:paraId="3DFB4BFB">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8</w:t>
      </w:r>
      <w:r>
        <w:rPr>
          <w:rFonts w:hint="default" w:ascii="Times New Roman" w:hAnsi="Times New Roman" w:eastAsia="方正仿宋简体" w:cs="Times New Roman"/>
          <w:b w:val="0"/>
          <w:bCs w:val="0"/>
          <w:spacing w:val="2"/>
          <w:position w:val="1"/>
          <w:sz w:val="32"/>
          <w:szCs w:val="32"/>
          <w:lang w:val="en-US" w:eastAsia="zh-CN"/>
        </w:rPr>
        <w:t>.消防广播及消防专用电话：每月分批次检查保养楼层消防扬声器并测试其声响是否响亮、清晰，在试验中不论扬声器当时处于何种工作状态，都应能紧急切换到火灾事故广播上，音响清晰。定期试验每个电话或插孔的通讯是否畅通，语音是否清晰、响亮，主机显示部位是否正确。</w:t>
      </w:r>
    </w:p>
    <w:p w14:paraId="7E25F44E">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9.</w:t>
      </w:r>
      <w:r>
        <w:rPr>
          <w:rFonts w:hint="default" w:ascii="Times New Roman" w:hAnsi="Times New Roman" w:eastAsia="方正仿宋简体" w:cs="Times New Roman"/>
          <w:b w:val="0"/>
          <w:bCs w:val="0"/>
          <w:spacing w:val="2"/>
          <w:position w:val="1"/>
          <w:sz w:val="32"/>
          <w:szCs w:val="32"/>
          <w:lang w:val="en-US" w:eastAsia="zh-CN"/>
        </w:rPr>
        <w:t>临时故障处理</w:t>
      </w:r>
      <w:r>
        <w:rPr>
          <w:rFonts w:hint="eastAsia" w:ascii="Times New Roman" w:hAnsi="Times New Roman" w:eastAsia="方正仿宋简体" w:cs="Times New Roman"/>
          <w:b w:val="0"/>
          <w:bCs w:val="0"/>
          <w:spacing w:val="2"/>
          <w:position w:val="1"/>
          <w:sz w:val="32"/>
          <w:szCs w:val="32"/>
          <w:lang w:val="en-US" w:eastAsia="zh-CN"/>
        </w:rPr>
        <w:t>及设备更换：</w:t>
      </w:r>
      <w:r>
        <w:rPr>
          <w:rFonts w:hint="eastAsia" w:ascii="Times New Roman" w:hAnsi="Times New Roman" w:eastAsia="方正仿宋简体" w:cs="Times New Roman"/>
          <w:b w:val="0"/>
          <w:bCs w:val="0"/>
          <w:spacing w:val="2"/>
          <w:position w:val="1"/>
          <w:sz w:val="32"/>
          <w:szCs w:val="32"/>
          <w:lang w:val="zh-CN" w:eastAsia="zh-CN"/>
        </w:rPr>
        <w:t>采购人的消防设施设备出现一般故障时，成交人必须在接到通知后</w:t>
      </w:r>
      <w:r>
        <w:rPr>
          <w:rFonts w:hint="eastAsia" w:ascii="Times New Roman" w:hAnsi="Times New Roman" w:eastAsia="方正仿宋简体" w:cs="Times New Roman"/>
          <w:b w:val="0"/>
          <w:bCs w:val="0"/>
          <w:spacing w:val="2"/>
          <w:position w:val="1"/>
          <w:sz w:val="32"/>
          <w:szCs w:val="32"/>
          <w:lang w:val="en-US" w:eastAsia="zh-CN"/>
        </w:rPr>
        <w:t>及时做出响应，120分钟</w:t>
      </w:r>
      <w:r>
        <w:rPr>
          <w:rFonts w:hint="eastAsia" w:ascii="Times New Roman" w:hAnsi="Times New Roman" w:eastAsia="方正仿宋简体" w:cs="Times New Roman"/>
          <w:b w:val="0"/>
          <w:bCs w:val="0"/>
          <w:spacing w:val="2"/>
          <w:position w:val="1"/>
          <w:sz w:val="32"/>
          <w:szCs w:val="32"/>
          <w:lang w:val="zh-CN" w:eastAsia="zh-CN"/>
        </w:rPr>
        <w:t>内到达现场；采购人的消防设施设备出现紧急故障或爆管时，成交人必须在接到通知后</w:t>
      </w:r>
      <w:r>
        <w:rPr>
          <w:rFonts w:hint="eastAsia" w:ascii="Times New Roman" w:hAnsi="Times New Roman" w:eastAsia="方正仿宋简体" w:cs="Times New Roman"/>
          <w:b w:val="0"/>
          <w:bCs w:val="0"/>
          <w:spacing w:val="2"/>
          <w:position w:val="1"/>
          <w:sz w:val="32"/>
          <w:szCs w:val="32"/>
          <w:lang w:val="en-US" w:eastAsia="zh-CN"/>
        </w:rPr>
        <w:t>90</w:t>
      </w:r>
      <w:r>
        <w:rPr>
          <w:rFonts w:hint="eastAsia" w:ascii="Times New Roman" w:hAnsi="Times New Roman" w:eastAsia="方正仿宋简体" w:cs="Times New Roman"/>
          <w:b w:val="0"/>
          <w:bCs w:val="0"/>
          <w:spacing w:val="2"/>
          <w:position w:val="1"/>
          <w:sz w:val="32"/>
          <w:szCs w:val="32"/>
          <w:lang w:val="zh-CN" w:eastAsia="zh-CN"/>
        </w:rPr>
        <w:t>分钟内到达现场</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在系统及设备的日常维护保养中，消防设施设备和器材的单个设备、部件或配件，单价（市场价）不超200元的，以及维修更换设施设备所需的辅材（辅料），由服务方免费提供设备并更换安装，维保服务中的大、中型维修工程和维保对象中消防设施设备和器材的单个设备、部件或配件，单价（市场价）超过200元的，由成交人提出维修计划和方案，采购</w:t>
      </w:r>
      <w:r>
        <w:rPr>
          <w:rFonts w:hint="eastAsia" w:ascii="Times New Roman" w:hAnsi="Times New Roman" w:eastAsia="方正仿宋简体" w:cs="Times New Roman"/>
          <w:b w:val="0"/>
          <w:bCs w:val="0"/>
          <w:spacing w:val="2"/>
          <w:position w:val="1"/>
          <w:sz w:val="32"/>
          <w:szCs w:val="32"/>
          <w:lang w:val="en-US" w:eastAsia="zh-CN"/>
        </w:rPr>
        <w:t>方</w:t>
      </w:r>
      <w:r>
        <w:rPr>
          <w:rFonts w:hint="default" w:ascii="Times New Roman" w:hAnsi="Times New Roman" w:eastAsia="方正仿宋简体" w:cs="Times New Roman"/>
          <w:b w:val="0"/>
          <w:bCs w:val="0"/>
          <w:spacing w:val="2"/>
          <w:position w:val="1"/>
          <w:sz w:val="32"/>
          <w:szCs w:val="32"/>
          <w:lang w:val="en-US" w:eastAsia="zh-CN"/>
        </w:rPr>
        <w:t>根据实际维修更换情况支付费用。</w:t>
      </w:r>
    </w:p>
    <w:p w14:paraId="0654AEF8">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eastAsia" w:ascii="方正楷体简体" w:hAnsi="方正楷体简体" w:eastAsia="方正楷体简体" w:cs="方正楷体简体"/>
          <w:b w:val="0"/>
          <w:bCs w:val="0"/>
          <w:spacing w:val="2"/>
          <w:position w:val="1"/>
          <w:sz w:val="32"/>
          <w:szCs w:val="32"/>
          <w:lang w:val="en-US" w:eastAsia="zh-CN"/>
        </w:rPr>
      </w:pPr>
      <w:r>
        <w:rPr>
          <w:rFonts w:hint="eastAsia" w:ascii="方正楷体简体" w:hAnsi="方正楷体简体" w:eastAsia="方正楷体简体" w:cs="方正楷体简体"/>
          <w:b w:val="0"/>
          <w:bCs w:val="0"/>
          <w:spacing w:val="2"/>
          <w:position w:val="1"/>
          <w:sz w:val="32"/>
          <w:szCs w:val="32"/>
          <w:lang w:val="en-US" w:eastAsia="zh-CN"/>
        </w:rPr>
        <w:t>（三）消防演练及培训</w:t>
      </w:r>
    </w:p>
    <w:p w14:paraId="2FF36F07">
      <w:pPr>
        <w:keepNext w:val="0"/>
        <w:keepLines w:val="0"/>
        <w:pageBreakBefore w:val="0"/>
        <w:widowControl w:val="0"/>
        <w:kinsoku/>
        <w:wordWrap w:val="0"/>
        <w:overflowPunct/>
        <w:topLinePunct/>
        <w:autoSpaceDE/>
        <w:autoSpaceDN/>
        <w:bidi w:val="0"/>
        <w:adjustRightInd w:val="0"/>
        <w:snapToGrid w:val="0"/>
        <w:spacing w:line="560" w:lineRule="exact"/>
        <w:ind w:firstLine="648" w:firstLineChars="200"/>
        <w:textAlignment w:val="baseline"/>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灭火和应急疏散演练指导由服务方提供方案并组织人员，采购方提供消防演练物资，每年演练不低于2次。针对本项目</w:t>
      </w:r>
      <w:r>
        <w:rPr>
          <w:rFonts w:hint="eastAsia" w:ascii="Times New Roman" w:hAnsi="Times New Roman" w:eastAsia="方正仿宋简体" w:cs="Times New Roman"/>
          <w:b w:val="0"/>
          <w:bCs w:val="0"/>
          <w:spacing w:val="2"/>
          <w:position w:val="1"/>
          <w:sz w:val="32"/>
          <w:szCs w:val="32"/>
          <w:lang w:val="en-US" w:eastAsia="zh-CN"/>
        </w:rPr>
        <w:t>服务方</w:t>
      </w:r>
      <w:r>
        <w:rPr>
          <w:rFonts w:hint="default" w:ascii="Times New Roman" w:hAnsi="Times New Roman" w:eastAsia="方正仿宋简体" w:cs="Times New Roman"/>
          <w:b w:val="0"/>
          <w:bCs w:val="0"/>
          <w:spacing w:val="2"/>
          <w:position w:val="1"/>
          <w:sz w:val="32"/>
          <w:szCs w:val="32"/>
          <w:lang w:val="en-US" w:eastAsia="zh-CN"/>
        </w:rPr>
        <w:t>向采购方提供消防知识、消防设施设备操作培训，培训内容及方案由服务方提供，每年消防培训不低于2次。</w:t>
      </w:r>
    </w:p>
    <w:p w14:paraId="553133DC">
      <w:pPr>
        <w:pStyle w:val="2"/>
        <w:keepNext w:val="0"/>
        <w:keepLines w:val="0"/>
        <w:pageBreakBefore w:val="0"/>
        <w:numPr>
          <w:ilvl w:val="0"/>
          <w:numId w:val="0"/>
        </w:numPr>
        <w:kinsoku/>
        <w:wordWrap w:val="0"/>
        <w:overflowPunct/>
        <w:topLinePunct/>
        <w:autoSpaceDE/>
        <w:autoSpaceDN/>
        <w:bidi w:val="0"/>
        <w:spacing w:line="560" w:lineRule="exact"/>
        <w:ind w:firstLine="648" w:firstLineChars="200"/>
        <w:rPr>
          <w:rFonts w:hint="eastAsia" w:ascii="方正楷体简体" w:hAnsi="方正楷体简体" w:eastAsia="方正楷体简体" w:cs="方正楷体简体"/>
          <w:b w:val="0"/>
          <w:bCs w:val="0"/>
          <w:spacing w:val="2"/>
          <w:position w:val="1"/>
          <w:sz w:val="32"/>
          <w:szCs w:val="32"/>
          <w:lang w:val="en-US" w:eastAsia="zh-CN"/>
        </w:rPr>
      </w:pPr>
      <w:r>
        <w:rPr>
          <w:rFonts w:hint="eastAsia" w:ascii="方正楷体简体" w:hAnsi="方正楷体简体" w:eastAsia="方正楷体简体" w:cs="方正楷体简体"/>
          <w:b w:val="0"/>
          <w:bCs w:val="0"/>
          <w:spacing w:val="2"/>
          <w:position w:val="1"/>
          <w:sz w:val="32"/>
          <w:szCs w:val="32"/>
          <w:lang w:val="en-US" w:eastAsia="zh-CN"/>
        </w:rPr>
        <w:t>（四）其他</w:t>
      </w:r>
    </w:p>
    <w:p w14:paraId="442AC688">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1.每周至少做1次常规检查，每月对消防系统进行巡检，供应商进行维护保养时每次工作时间不低于8小时；全部消火栓每半年必须完成一次全覆盖检查</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做好检查记录</w:t>
      </w:r>
      <w:r>
        <w:rPr>
          <w:rFonts w:hint="eastAsia" w:ascii="Times New Roman" w:hAnsi="Times New Roman" w:eastAsia="方正仿宋简体" w:cs="Times New Roman"/>
          <w:b w:val="0"/>
          <w:bCs w:val="0"/>
          <w:spacing w:val="2"/>
          <w:position w:val="1"/>
          <w:sz w:val="32"/>
          <w:szCs w:val="32"/>
          <w:lang w:val="en-US" w:eastAsia="zh-CN"/>
        </w:rPr>
        <w:t>。</w:t>
      </w:r>
    </w:p>
    <w:p w14:paraId="49C046B3">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2.服务期限届满前1个月内服务方应对采购方进行一次全面、详细的年度检查。在周检、月检、和年度检查时，作好检查、维修的原始记录。</w:t>
      </w:r>
    </w:p>
    <w:p w14:paraId="3F294677">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3</w:t>
      </w:r>
      <w:r>
        <w:rPr>
          <w:rFonts w:hint="default" w:ascii="Times New Roman" w:hAnsi="Times New Roman" w:eastAsia="方正仿宋简体" w:cs="Times New Roman"/>
          <w:b w:val="0"/>
          <w:bCs w:val="0"/>
          <w:spacing w:val="2"/>
          <w:position w:val="1"/>
          <w:sz w:val="32"/>
          <w:szCs w:val="32"/>
          <w:lang w:val="en-US" w:eastAsia="zh-CN"/>
        </w:rPr>
        <w:t>.</w:t>
      </w:r>
      <w:r>
        <w:rPr>
          <w:rFonts w:hint="eastAsia" w:ascii="Times New Roman" w:hAnsi="Times New Roman" w:eastAsia="方正仿宋简体" w:cs="Times New Roman"/>
          <w:b w:val="0"/>
          <w:bCs w:val="0"/>
          <w:spacing w:val="2"/>
          <w:position w:val="1"/>
          <w:sz w:val="32"/>
          <w:szCs w:val="32"/>
          <w:lang w:val="en-US" w:eastAsia="zh-CN"/>
        </w:rPr>
        <w:t>服务方</w:t>
      </w:r>
      <w:r>
        <w:rPr>
          <w:rFonts w:hint="default" w:ascii="Times New Roman" w:hAnsi="Times New Roman" w:eastAsia="方正仿宋简体" w:cs="Times New Roman"/>
          <w:b w:val="0"/>
          <w:bCs w:val="0"/>
          <w:spacing w:val="2"/>
          <w:position w:val="1"/>
          <w:sz w:val="32"/>
          <w:szCs w:val="32"/>
          <w:lang w:val="en-US" w:eastAsia="zh-CN"/>
        </w:rPr>
        <w:t>在消防系统维护作业中，不得擅自改动原消防系统的电气、电子线路和零部件，若有必要须书面通知采购</w:t>
      </w:r>
      <w:r>
        <w:rPr>
          <w:rFonts w:hint="eastAsia" w:ascii="Times New Roman" w:hAnsi="Times New Roman" w:eastAsia="方正仿宋简体" w:cs="Times New Roman"/>
          <w:b w:val="0"/>
          <w:bCs w:val="0"/>
          <w:spacing w:val="2"/>
          <w:position w:val="1"/>
          <w:sz w:val="32"/>
          <w:szCs w:val="32"/>
          <w:lang w:val="en-US" w:eastAsia="zh-CN"/>
        </w:rPr>
        <w:t>方</w:t>
      </w:r>
      <w:r>
        <w:rPr>
          <w:rFonts w:hint="default" w:ascii="Times New Roman" w:hAnsi="Times New Roman" w:eastAsia="方正仿宋简体" w:cs="Times New Roman"/>
          <w:b w:val="0"/>
          <w:bCs w:val="0"/>
          <w:spacing w:val="2"/>
          <w:position w:val="1"/>
          <w:sz w:val="32"/>
          <w:szCs w:val="32"/>
          <w:lang w:val="en-US" w:eastAsia="zh-CN"/>
        </w:rPr>
        <w:t>，在采购</w:t>
      </w:r>
      <w:r>
        <w:rPr>
          <w:rFonts w:hint="eastAsia" w:ascii="Times New Roman" w:hAnsi="Times New Roman" w:eastAsia="方正仿宋简体" w:cs="Times New Roman"/>
          <w:b w:val="0"/>
          <w:bCs w:val="0"/>
          <w:spacing w:val="2"/>
          <w:position w:val="1"/>
          <w:sz w:val="32"/>
          <w:szCs w:val="32"/>
          <w:lang w:val="en-US" w:eastAsia="zh-CN"/>
        </w:rPr>
        <w:t>方</w:t>
      </w:r>
      <w:r>
        <w:rPr>
          <w:rFonts w:hint="default" w:ascii="Times New Roman" w:hAnsi="Times New Roman" w:eastAsia="方正仿宋简体" w:cs="Times New Roman"/>
          <w:b w:val="0"/>
          <w:bCs w:val="0"/>
          <w:spacing w:val="2"/>
          <w:position w:val="1"/>
          <w:sz w:val="32"/>
          <w:szCs w:val="32"/>
          <w:lang w:val="en-US" w:eastAsia="zh-CN"/>
        </w:rPr>
        <w:t>认可后变动，并向采购</w:t>
      </w:r>
      <w:r>
        <w:rPr>
          <w:rFonts w:hint="eastAsia" w:ascii="Times New Roman" w:hAnsi="Times New Roman" w:eastAsia="方正仿宋简体" w:cs="Times New Roman"/>
          <w:b w:val="0"/>
          <w:bCs w:val="0"/>
          <w:spacing w:val="2"/>
          <w:position w:val="1"/>
          <w:sz w:val="32"/>
          <w:szCs w:val="32"/>
          <w:lang w:val="en-US" w:eastAsia="zh-CN"/>
        </w:rPr>
        <w:t>方</w:t>
      </w:r>
      <w:r>
        <w:rPr>
          <w:rFonts w:hint="default" w:ascii="Times New Roman" w:hAnsi="Times New Roman" w:eastAsia="方正仿宋简体" w:cs="Times New Roman"/>
          <w:b w:val="0"/>
          <w:bCs w:val="0"/>
          <w:spacing w:val="2"/>
          <w:position w:val="1"/>
          <w:sz w:val="32"/>
          <w:szCs w:val="32"/>
          <w:lang w:val="en-US" w:eastAsia="zh-CN"/>
        </w:rPr>
        <w:t>提供技术资料和确保通过消防部门的认可。</w:t>
      </w:r>
    </w:p>
    <w:p w14:paraId="7B6EDF41">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4</w:t>
      </w:r>
      <w:r>
        <w:rPr>
          <w:rFonts w:hint="default" w:ascii="Times New Roman" w:hAnsi="Times New Roman" w:eastAsia="方正仿宋简体" w:cs="Times New Roman"/>
          <w:b w:val="0"/>
          <w:bCs w:val="0"/>
          <w:spacing w:val="2"/>
          <w:position w:val="1"/>
          <w:sz w:val="32"/>
          <w:szCs w:val="32"/>
          <w:lang w:val="en-US" w:eastAsia="zh-CN"/>
        </w:rPr>
        <w:t>.政府消防部门检查时，供应商应主动参加，按照消防部门意见，对消防系统存在的问题进行整改和完善，若因供应商整改不力造成采购人损失，由供应商承担经济责任（包括涉及的罚款）。</w:t>
      </w:r>
    </w:p>
    <w:p w14:paraId="04ED78CD">
      <w:pPr>
        <w:keepNext w:val="0"/>
        <w:keepLines w:val="0"/>
        <w:pageBreakBefore w:val="0"/>
        <w:kinsoku/>
        <w:wordWrap w:val="0"/>
        <w:overflowPunct/>
        <w:topLinePunct/>
        <w:autoSpaceDE/>
        <w:autoSpaceDN/>
        <w:bidi w:val="0"/>
        <w:spacing w:line="560" w:lineRule="exact"/>
        <w:ind w:firstLine="667" w:firstLineChars="200"/>
        <w:rPr>
          <w:rFonts w:hint="eastAsia" w:ascii="宋体" w:hAnsi="宋体" w:eastAsia="宋体" w:cs="宋体"/>
          <w:sz w:val="32"/>
          <w:szCs w:val="32"/>
        </w:rPr>
      </w:pPr>
      <w:r>
        <w:rPr>
          <w:rFonts w:ascii="黑体" w:hAnsi="黑体" w:eastAsia="黑体" w:cs="黑体"/>
          <w:b/>
          <w:bCs/>
          <w:spacing w:val="6"/>
          <w:sz w:val="32"/>
          <w:szCs w:val="32"/>
        </w:rPr>
        <w:t>三</w:t>
      </w:r>
      <w:r>
        <w:rPr>
          <w:rFonts w:ascii="黑体" w:hAnsi="黑体" w:eastAsia="黑体" w:cs="黑体"/>
          <w:spacing w:val="-60"/>
          <w:sz w:val="32"/>
          <w:szCs w:val="32"/>
        </w:rPr>
        <w:t xml:space="preserve"> </w:t>
      </w:r>
      <w:r>
        <w:rPr>
          <w:rFonts w:ascii="黑体" w:hAnsi="黑体" w:eastAsia="黑体" w:cs="黑体"/>
          <w:b/>
          <w:bCs/>
          <w:spacing w:val="6"/>
          <w:sz w:val="32"/>
          <w:szCs w:val="32"/>
        </w:rPr>
        <w:t>、</w:t>
      </w:r>
      <w:r>
        <w:rPr>
          <w:rFonts w:hint="eastAsia" w:ascii="黑体" w:hAnsi="黑体" w:eastAsia="黑体" w:cs="黑体"/>
          <w:b/>
          <w:bCs/>
          <w:spacing w:val="8"/>
          <w:sz w:val="32"/>
          <w:szCs w:val="32"/>
          <w:lang w:val="en-US" w:eastAsia="zh-CN"/>
        </w:rPr>
        <w:t>服务</w:t>
      </w:r>
      <w:r>
        <w:rPr>
          <w:rFonts w:hint="eastAsia" w:ascii="黑体" w:hAnsi="黑体" w:eastAsia="黑体" w:cs="黑体"/>
          <w:b/>
          <w:bCs/>
          <w:spacing w:val="8"/>
          <w:sz w:val="32"/>
          <w:szCs w:val="32"/>
        </w:rPr>
        <w:t>期限：</w:t>
      </w:r>
    </w:p>
    <w:p w14:paraId="701000D0">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方正仿宋简体" w:hAnsi="方正仿宋简体" w:eastAsia="方正仿宋简体" w:cs="方正仿宋简体"/>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本合同期限为1年，即从  年  月  日起至  年  月  日止。合同到期前一个月，可根据上年考核情况选择续签，考核合格且在原合同主要条款不改变的的基础上，续签不超过2次。</w:t>
      </w:r>
    </w:p>
    <w:p w14:paraId="3BEA0C1F">
      <w:pPr>
        <w:keepNext w:val="0"/>
        <w:keepLines w:val="0"/>
        <w:pageBreakBefore w:val="0"/>
        <w:kinsoku/>
        <w:wordWrap w:val="0"/>
        <w:overflowPunct/>
        <w:topLinePunct/>
        <w:autoSpaceDE/>
        <w:autoSpaceDN/>
        <w:bidi w:val="0"/>
        <w:spacing w:before="221" w:line="560" w:lineRule="exact"/>
        <w:ind w:left="4" w:firstLine="634" w:firstLineChars="200"/>
        <w:outlineLvl w:val="2"/>
        <w:rPr>
          <w:rFonts w:ascii="黑体" w:hAnsi="黑体" w:eastAsia="黑体" w:cs="黑体"/>
          <w:sz w:val="30"/>
          <w:szCs w:val="30"/>
        </w:rPr>
      </w:pPr>
      <w:r>
        <w:rPr>
          <w:rFonts w:ascii="黑体" w:hAnsi="黑体" w:eastAsia="黑体" w:cs="黑体"/>
          <w:b/>
          <w:bCs/>
          <w:spacing w:val="8"/>
          <w:sz w:val="30"/>
          <w:szCs w:val="30"/>
        </w:rPr>
        <w:t>四</w:t>
      </w:r>
      <w:r>
        <w:rPr>
          <w:rFonts w:ascii="黑体" w:hAnsi="黑体" w:eastAsia="黑体" w:cs="黑体"/>
          <w:spacing w:val="-76"/>
          <w:sz w:val="30"/>
          <w:szCs w:val="30"/>
        </w:rPr>
        <w:t xml:space="preserve"> </w:t>
      </w:r>
      <w:r>
        <w:rPr>
          <w:rFonts w:ascii="黑体" w:hAnsi="黑体" w:eastAsia="黑体" w:cs="黑体"/>
          <w:b/>
          <w:bCs/>
          <w:spacing w:val="8"/>
          <w:sz w:val="30"/>
          <w:szCs w:val="30"/>
        </w:rPr>
        <w:t>、合同总价及付款方式</w:t>
      </w:r>
    </w:p>
    <w:p w14:paraId="0776E275">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1.合同金额：年度消防技术服务费    元(大写：    );含税价，税率为1%，该总价为</w:t>
      </w:r>
      <w:r>
        <w:rPr>
          <w:rFonts w:hint="default" w:ascii="Times New Roman" w:hAnsi="Times New Roman" w:eastAsia="方正仿宋简体" w:cs="Times New Roman"/>
          <w:b w:val="0"/>
          <w:bCs w:val="0"/>
          <w:spacing w:val="2"/>
          <w:position w:val="1"/>
          <w:sz w:val="32"/>
          <w:szCs w:val="32"/>
          <w:lang w:val="en-US" w:eastAsia="zh-CN"/>
        </w:rPr>
        <w:t>包括但不限于</w:t>
      </w:r>
      <w:r>
        <w:rPr>
          <w:rFonts w:hint="eastAsia" w:ascii="Times New Roman" w:hAnsi="Times New Roman" w:eastAsia="方正仿宋简体" w:cs="Times New Roman"/>
          <w:b w:val="0"/>
          <w:bCs w:val="0"/>
          <w:spacing w:val="2"/>
          <w:position w:val="1"/>
          <w:sz w:val="32"/>
          <w:szCs w:val="32"/>
          <w:lang w:val="en-US" w:eastAsia="zh-CN"/>
        </w:rPr>
        <w:t>成本费、人工费、机械费、辅材费、培训指导费、税金、管理费等一切费用，采购人不再额外支付其他任何费用。</w:t>
      </w:r>
    </w:p>
    <w:p w14:paraId="47F0BCAB">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en-US"/>
        </w:rPr>
      </w:pPr>
      <w:r>
        <w:rPr>
          <w:rFonts w:hint="eastAsia" w:ascii="Times New Roman" w:hAnsi="Times New Roman" w:eastAsia="方正仿宋简体" w:cs="Times New Roman"/>
          <w:b w:val="0"/>
          <w:bCs w:val="0"/>
          <w:spacing w:val="2"/>
          <w:position w:val="1"/>
          <w:sz w:val="32"/>
          <w:szCs w:val="32"/>
          <w:lang w:val="en-US" w:eastAsia="zh-CN"/>
        </w:rPr>
        <w:t>2.本协议签订后，乙方提供正规增值税专用发票（票面金额为年服务费用的50%），甲方即在收到发票后的15个工作日内，支付年服务费用的50%，即人民币          元（大写：         ）。6个月后，乙方提前提供剩余金额增值税专用发票，甲方在收到发票后的15个工作日内支付剩下年服务费用的50%，即人民币          元（大写：         ）</w:t>
      </w:r>
      <w:r>
        <w:rPr>
          <w:rFonts w:hint="eastAsia" w:ascii="Times New Roman" w:hAnsi="Times New Roman" w:eastAsia="方正仿宋简体" w:cs="Times New Roman"/>
          <w:b w:val="0"/>
          <w:bCs w:val="0"/>
          <w:spacing w:val="2"/>
          <w:position w:val="1"/>
          <w:sz w:val="32"/>
          <w:szCs w:val="32"/>
          <w:lang w:val="en-US" w:eastAsia="en-US"/>
        </w:rPr>
        <w:t>。</w:t>
      </w:r>
    </w:p>
    <w:p w14:paraId="6C27D4B6">
      <w:pPr>
        <w:keepNext w:val="0"/>
        <w:keepLines w:val="0"/>
        <w:pageBreakBefore w:val="0"/>
        <w:kinsoku/>
        <w:wordWrap w:val="0"/>
        <w:overflowPunct/>
        <w:topLinePunct/>
        <w:autoSpaceDE/>
        <w:autoSpaceDN/>
        <w:bidi w:val="0"/>
        <w:spacing w:before="1" w:line="560" w:lineRule="exact"/>
        <w:ind w:left="4" w:firstLine="675" w:firstLineChars="200"/>
        <w:outlineLvl w:val="2"/>
        <w:rPr>
          <w:rFonts w:hint="eastAsia" w:ascii="黑体" w:hAnsi="黑体" w:eastAsia="黑体" w:cs="黑体"/>
          <w:sz w:val="32"/>
          <w:szCs w:val="32"/>
          <w:lang w:val="en-US" w:eastAsia="zh-CN"/>
        </w:rPr>
      </w:pPr>
      <w:r>
        <w:rPr>
          <w:rFonts w:ascii="黑体" w:hAnsi="黑体" w:eastAsia="黑体" w:cs="黑体"/>
          <w:b/>
          <w:bCs/>
          <w:spacing w:val="8"/>
          <w:sz w:val="32"/>
          <w:szCs w:val="32"/>
        </w:rPr>
        <w:t>五、双方</w:t>
      </w:r>
      <w:r>
        <w:rPr>
          <w:rFonts w:hint="eastAsia" w:ascii="黑体" w:hAnsi="黑体" w:eastAsia="黑体" w:cs="黑体"/>
          <w:b/>
          <w:bCs/>
          <w:spacing w:val="8"/>
          <w:sz w:val="32"/>
          <w:szCs w:val="32"/>
          <w:lang w:val="en-US" w:eastAsia="zh-CN"/>
        </w:rPr>
        <w:t>权利与义务</w:t>
      </w:r>
    </w:p>
    <w:p w14:paraId="4F61C259">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（一）甲方的权利与义务</w:t>
      </w:r>
    </w:p>
    <w:p w14:paraId="214E6F52">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按本合同第</w:t>
      </w:r>
      <w:r>
        <w:rPr>
          <w:rFonts w:hint="eastAsia" w:ascii="Times New Roman" w:hAnsi="Times New Roman" w:eastAsia="方正仿宋简体" w:cs="Times New Roman"/>
          <w:b w:val="0"/>
          <w:bCs w:val="0"/>
          <w:spacing w:val="2"/>
          <w:position w:val="1"/>
          <w:sz w:val="32"/>
          <w:szCs w:val="32"/>
          <w:lang w:val="en-US" w:eastAsia="zh-CN"/>
        </w:rPr>
        <w:t>四</w:t>
      </w:r>
      <w:r>
        <w:rPr>
          <w:rFonts w:hint="default" w:ascii="Times New Roman" w:hAnsi="Times New Roman" w:eastAsia="方正仿宋简体" w:cs="Times New Roman"/>
          <w:b w:val="0"/>
          <w:bCs w:val="0"/>
          <w:spacing w:val="2"/>
          <w:position w:val="1"/>
          <w:sz w:val="32"/>
          <w:szCs w:val="32"/>
          <w:lang w:val="en-US" w:eastAsia="zh-CN"/>
        </w:rPr>
        <w:t>条第2款约定按时向乙方支付维护保养款。</w:t>
      </w:r>
    </w:p>
    <w:p w14:paraId="6E573F81">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2</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按消防值班规定甲方安排人员值班，消防控制室应24小时值班，值班人员按消防值班规定做好日常巡视，在日常的管理工作中，一旦发现消防隐患或消防故障时，及时电话通知乙方维护。（甲方现场管理人员：，联系电话：            ；乙方的联系电话为：</w:t>
      </w:r>
      <w:r>
        <w:rPr>
          <w:rFonts w:hint="eastAsia" w:ascii="Times New Roman" w:hAnsi="Times New Roman" w:eastAsia="方正仿宋简体" w:cs="Times New Roman"/>
          <w:b w:val="0"/>
          <w:bCs w:val="0"/>
          <w:spacing w:val="2"/>
          <w:position w:val="1"/>
          <w:sz w:val="32"/>
          <w:szCs w:val="32"/>
          <w:lang w:val="en-US" w:eastAsia="zh-CN"/>
        </w:rPr>
        <w:t xml:space="preserve">            </w:t>
      </w:r>
      <w:r>
        <w:rPr>
          <w:rFonts w:hint="default" w:ascii="Times New Roman" w:hAnsi="Times New Roman" w:eastAsia="方正仿宋简体" w:cs="Times New Roman"/>
          <w:b w:val="0"/>
          <w:bCs w:val="0"/>
          <w:spacing w:val="2"/>
          <w:position w:val="1"/>
          <w:sz w:val="32"/>
          <w:szCs w:val="32"/>
          <w:lang w:val="en-US" w:eastAsia="zh-CN"/>
        </w:rPr>
        <w:t xml:space="preserve"> ，联系人： </w:t>
      </w:r>
      <w:r>
        <w:rPr>
          <w:rFonts w:hint="eastAsia" w:ascii="Times New Roman" w:hAnsi="Times New Roman" w:eastAsia="方正仿宋简体" w:cs="Times New Roman"/>
          <w:b w:val="0"/>
          <w:bCs w:val="0"/>
          <w:spacing w:val="2"/>
          <w:position w:val="1"/>
          <w:sz w:val="32"/>
          <w:szCs w:val="32"/>
          <w:lang w:val="en-US" w:eastAsia="zh-CN"/>
        </w:rPr>
        <w:t xml:space="preserve">         </w:t>
      </w:r>
      <w:r>
        <w:rPr>
          <w:rFonts w:hint="default" w:ascii="Times New Roman" w:hAnsi="Times New Roman" w:eastAsia="方正仿宋简体" w:cs="Times New Roman"/>
          <w:b w:val="0"/>
          <w:bCs w:val="0"/>
          <w:spacing w:val="2"/>
          <w:position w:val="1"/>
          <w:sz w:val="32"/>
          <w:szCs w:val="32"/>
          <w:lang w:val="en-US" w:eastAsia="zh-CN"/>
        </w:rPr>
        <w:t xml:space="preserve">  。</w:t>
      </w:r>
    </w:p>
    <w:p w14:paraId="3FD9EF62">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3</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为乙方的维护保养提供工作便利条件（适当的水电服务、停车场地、工作场地等）。</w:t>
      </w:r>
    </w:p>
    <w:p w14:paraId="288F4484">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4</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对乙方的维护保养工作进行监督、检查，若发现违反本合同约定或者违反消防维护保养规定的地方，有权责令乙方整改</w:t>
      </w:r>
      <w:r>
        <w:rPr>
          <w:rFonts w:hint="eastAsia" w:ascii="Times New Roman" w:hAnsi="Times New Roman" w:eastAsia="方正仿宋简体" w:cs="Times New Roman"/>
          <w:b w:val="0"/>
          <w:bCs w:val="0"/>
          <w:spacing w:val="2"/>
          <w:position w:val="1"/>
          <w:sz w:val="32"/>
          <w:szCs w:val="32"/>
          <w:lang w:val="en-US" w:eastAsia="zh-CN"/>
        </w:rPr>
        <w:t>，情况严重，甲方可单方面取消合同</w:t>
      </w:r>
      <w:r>
        <w:rPr>
          <w:rFonts w:hint="default" w:ascii="Times New Roman" w:hAnsi="Times New Roman" w:eastAsia="方正仿宋简体" w:cs="Times New Roman"/>
          <w:b w:val="0"/>
          <w:bCs w:val="0"/>
          <w:spacing w:val="2"/>
          <w:position w:val="1"/>
          <w:sz w:val="32"/>
          <w:szCs w:val="32"/>
          <w:lang w:val="en-US" w:eastAsia="zh-CN"/>
        </w:rPr>
        <w:t>。</w:t>
      </w:r>
    </w:p>
    <w:p w14:paraId="0F814237">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5</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甲方应向乙方提供有关消防系统的资料、图纸、消防设备操作说明等相关资料。乙方在消防设施维护保养合同期限范围内向甲方提供的《消防安全管理体系》系统的相关资料，在该合同期满后，乙方将相关资料全部收回，并将甲方提供的原始资料归还于甲方。</w:t>
      </w:r>
    </w:p>
    <w:p w14:paraId="4181B0E4">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6</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甲方所管辖范围内不得私自拆卸或安装改造消防系统设施、设备及线路，否则造成损失由甲方自行负责。甲方管辖范围内局部消防改造应</w:t>
      </w:r>
      <w:r>
        <w:rPr>
          <w:rFonts w:hint="eastAsia" w:ascii="Times New Roman" w:hAnsi="Times New Roman" w:eastAsia="方正仿宋简体" w:cs="Times New Roman"/>
          <w:b w:val="0"/>
          <w:bCs w:val="0"/>
          <w:spacing w:val="2"/>
          <w:position w:val="1"/>
          <w:sz w:val="32"/>
          <w:szCs w:val="32"/>
          <w:lang w:val="en-US" w:eastAsia="zh-CN"/>
        </w:rPr>
        <w:t>及时</w:t>
      </w:r>
      <w:r>
        <w:rPr>
          <w:rFonts w:hint="default" w:ascii="Times New Roman" w:hAnsi="Times New Roman" w:eastAsia="方正仿宋简体" w:cs="Times New Roman"/>
          <w:b w:val="0"/>
          <w:bCs w:val="0"/>
          <w:spacing w:val="2"/>
          <w:position w:val="1"/>
          <w:sz w:val="32"/>
          <w:szCs w:val="32"/>
          <w:lang w:val="en-US" w:eastAsia="zh-CN"/>
        </w:rPr>
        <w:t>通知乙方，</w:t>
      </w:r>
      <w:r>
        <w:rPr>
          <w:rFonts w:hint="eastAsia" w:ascii="Times New Roman" w:hAnsi="Times New Roman" w:eastAsia="方正仿宋简体" w:cs="Times New Roman"/>
          <w:b w:val="0"/>
          <w:bCs w:val="0"/>
          <w:spacing w:val="2"/>
          <w:position w:val="1"/>
          <w:sz w:val="32"/>
          <w:szCs w:val="32"/>
          <w:lang w:val="en-US" w:eastAsia="zh-CN"/>
        </w:rPr>
        <w:t>可</w:t>
      </w:r>
      <w:r>
        <w:rPr>
          <w:rFonts w:hint="default" w:ascii="Times New Roman" w:hAnsi="Times New Roman" w:eastAsia="方正仿宋简体" w:cs="Times New Roman"/>
          <w:b w:val="0"/>
          <w:bCs w:val="0"/>
          <w:spacing w:val="2"/>
          <w:position w:val="1"/>
          <w:sz w:val="32"/>
          <w:szCs w:val="32"/>
          <w:lang w:val="en-US" w:eastAsia="zh-CN"/>
        </w:rPr>
        <w:t>优先让乙方施工。</w:t>
      </w:r>
    </w:p>
    <w:p w14:paraId="0B4ED6AD">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7</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甲方指定专人对乙方的检查记录负责核对签字，乙方每月自行对消防维保流程进行记录，并连同消防维保记录提供给甲方（资料内容：1份消防维保流程记录PDF文件和1份消防维保流程实测表）。</w:t>
      </w:r>
    </w:p>
    <w:p w14:paraId="449F71DA">
      <w:pPr>
        <w:pStyle w:val="2"/>
        <w:keepNext w:val="0"/>
        <w:keepLines w:val="0"/>
        <w:pageBreakBefore w:val="0"/>
        <w:kinsoku/>
        <w:wordWrap w:val="0"/>
        <w:overflowPunct/>
        <w:topLinePunct/>
        <w:autoSpaceDE/>
        <w:autoSpaceDN/>
        <w:bidi w:val="0"/>
        <w:spacing w:line="560" w:lineRule="exact"/>
        <w:ind w:firstLine="640" w:firstLineChars="200"/>
        <w:rPr>
          <w:rFonts w:hint="eastAsia" w:ascii="方正楷体简体" w:hAnsi="方正楷体简体" w:eastAsia="方正楷体简体" w:cs="方正楷体简体"/>
          <w:lang w:eastAsia="zh-CN"/>
        </w:rPr>
      </w:pPr>
      <w:r>
        <w:rPr>
          <w:rFonts w:hint="eastAsia" w:ascii="方正楷体简体" w:hAnsi="方正楷体简体" w:eastAsia="方正楷体简体" w:cs="方正楷体简体"/>
          <w:color w:val="auto"/>
          <w:sz w:val="32"/>
          <w:szCs w:val="32"/>
          <w:highlight w:val="none"/>
          <w:lang w:eastAsia="zh-CN"/>
        </w:rPr>
        <w:t>（</w:t>
      </w:r>
      <w:r>
        <w:rPr>
          <w:rFonts w:hint="eastAsia" w:ascii="方正楷体简体" w:hAnsi="方正楷体简体" w:eastAsia="方正楷体简体" w:cs="方正楷体简体"/>
          <w:color w:val="auto"/>
          <w:sz w:val="32"/>
          <w:szCs w:val="32"/>
          <w:highlight w:val="none"/>
          <w:lang w:val="en-US" w:eastAsia="zh-CN"/>
        </w:rPr>
        <w:t>二</w:t>
      </w:r>
      <w:r>
        <w:rPr>
          <w:rFonts w:hint="eastAsia" w:ascii="方正楷体简体" w:hAnsi="方正楷体简体" w:eastAsia="方正楷体简体" w:cs="方正楷体简体"/>
          <w:color w:val="auto"/>
          <w:sz w:val="32"/>
          <w:szCs w:val="32"/>
          <w:highlight w:val="none"/>
          <w:lang w:eastAsia="zh-CN"/>
        </w:rPr>
        <w:t>）</w:t>
      </w:r>
      <w:r>
        <w:rPr>
          <w:rFonts w:hint="eastAsia" w:ascii="方正楷体简体" w:hAnsi="方正楷体简体" w:eastAsia="方正楷体简体" w:cs="方正楷体简体"/>
          <w:color w:val="auto"/>
          <w:sz w:val="32"/>
          <w:szCs w:val="32"/>
          <w:highlight w:val="none"/>
          <w:lang w:val="en-US" w:eastAsia="zh-CN"/>
        </w:rPr>
        <w:t>乙方权利及义务</w:t>
      </w:r>
    </w:p>
    <w:p w14:paraId="5AA44F76">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在本合同签订同时向甲方提供公司资料供甲方备案。</w:t>
      </w:r>
    </w:p>
    <w:p w14:paraId="261AE747">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2</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对甲方的值班及其他人员进行消防业务指导和培训。</w:t>
      </w:r>
    </w:p>
    <w:p w14:paraId="39ADCC5A">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3</w:t>
      </w:r>
      <w:r>
        <w:rPr>
          <w:rFonts w:hint="eastAsia" w:ascii="Times New Roman" w:hAnsi="Times New Roman" w:eastAsia="方正仿宋简体" w:cs="Times New Roman"/>
          <w:b w:val="0"/>
          <w:bCs w:val="0"/>
          <w:spacing w:val="2"/>
          <w:position w:val="1"/>
          <w:sz w:val="32"/>
          <w:szCs w:val="32"/>
          <w:lang w:val="en-US" w:eastAsia="zh-CN"/>
        </w:rPr>
        <w:t>.</w:t>
      </w:r>
      <w:r>
        <w:rPr>
          <w:rFonts w:hint="default" w:ascii="Times New Roman" w:hAnsi="Times New Roman" w:eastAsia="方正仿宋简体" w:cs="Times New Roman"/>
          <w:b w:val="0"/>
          <w:bCs w:val="0"/>
          <w:spacing w:val="2"/>
          <w:position w:val="1"/>
          <w:sz w:val="32"/>
          <w:szCs w:val="32"/>
          <w:lang w:val="en-US" w:eastAsia="zh-CN"/>
        </w:rPr>
        <w:t>根据本合同第三条维护的具体内容中，如需要更换设备、器材、维修配件、局部改造、技术支撑、劳务等费用总价每月在200元以内（含本数）的免费处理，且年总金额不应超过合同总价的5%，乙方负责承担。若费用综合费用超过200元，在得到甲方相关人员认可签字后，方能进行更换，更换费用由甲方承担。</w:t>
      </w:r>
    </w:p>
    <w:p w14:paraId="3DE040D8">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4.</w:t>
      </w:r>
      <w:r>
        <w:rPr>
          <w:rFonts w:hint="default" w:ascii="Times New Roman" w:hAnsi="Times New Roman" w:eastAsia="方正仿宋简体" w:cs="Times New Roman"/>
          <w:b w:val="0"/>
          <w:bCs w:val="0"/>
          <w:spacing w:val="2"/>
          <w:position w:val="1"/>
          <w:sz w:val="32"/>
          <w:szCs w:val="32"/>
          <w:lang w:val="en-US" w:eastAsia="zh-CN"/>
        </w:rPr>
        <w:t>乙方应当在本合同签订后制定月检、季检以及年度维护保养制度，并全面负责随时将消防系统的完好状态通报给甲方消防主管负责人。</w:t>
      </w:r>
    </w:p>
    <w:p w14:paraId="040AF533">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5.</w:t>
      </w:r>
      <w:r>
        <w:rPr>
          <w:rFonts w:hint="default" w:ascii="Times New Roman" w:hAnsi="Times New Roman" w:eastAsia="方正仿宋简体" w:cs="Times New Roman"/>
          <w:b w:val="0"/>
          <w:bCs w:val="0"/>
          <w:spacing w:val="2"/>
          <w:position w:val="1"/>
          <w:sz w:val="32"/>
          <w:szCs w:val="32"/>
          <w:lang w:val="en-US" w:eastAsia="zh-CN"/>
        </w:rPr>
        <w:t>指定专人对甲方的消防系统进行维护保养，维保人员必须配合区域物管部门的管理，遵守区域的各项管理规定，以确保消防系统维修保养的专业性、高质量，确保报警等消防系统做到灵敏、可靠、保持常年正常运行，一遇火警时能发挥应用的作用。如乙方变更指派的维保人员，应当向甲方出具书面通知。</w:t>
      </w:r>
    </w:p>
    <w:p w14:paraId="6A894355">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6.</w:t>
      </w:r>
      <w:r>
        <w:rPr>
          <w:rFonts w:hint="default" w:ascii="Times New Roman" w:hAnsi="Times New Roman" w:eastAsia="方正仿宋简体" w:cs="Times New Roman"/>
          <w:b w:val="0"/>
          <w:bCs w:val="0"/>
          <w:spacing w:val="2"/>
          <w:position w:val="1"/>
          <w:sz w:val="32"/>
          <w:szCs w:val="32"/>
          <w:lang w:val="en-US" w:eastAsia="zh-CN"/>
        </w:rPr>
        <w:t>乙方在消防系统维护作业中，不得擅自改动原消防系统的电气、电子线路和零部件，若有必要须书面通知甲方，在甲方认可后变动，并向甲方提供技术资料。</w:t>
      </w:r>
    </w:p>
    <w:p w14:paraId="4AB57C25">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7.</w:t>
      </w:r>
      <w:r>
        <w:rPr>
          <w:rFonts w:hint="default" w:ascii="Times New Roman" w:hAnsi="Times New Roman" w:eastAsia="方正仿宋简体" w:cs="Times New Roman"/>
          <w:b w:val="0"/>
          <w:bCs w:val="0"/>
          <w:spacing w:val="2"/>
          <w:position w:val="1"/>
          <w:sz w:val="32"/>
          <w:szCs w:val="32"/>
          <w:lang w:val="en-US" w:eastAsia="zh-CN"/>
        </w:rPr>
        <w:t>乙方应建立日常走访制度确保消防系统维修保养工作质量。</w:t>
      </w:r>
    </w:p>
    <w:p w14:paraId="71B2E629">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8.</w:t>
      </w:r>
      <w:r>
        <w:rPr>
          <w:rFonts w:hint="default" w:ascii="Times New Roman" w:hAnsi="Times New Roman" w:eastAsia="方正仿宋简体" w:cs="Times New Roman"/>
          <w:b w:val="0"/>
          <w:bCs w:val="0"/>
          <w:spacing w:val="2"/>
          <w:position w:val="1"/>
          <w:sz w:val="32"/>
          <w:szCs w:val="32"/>
          <w:lang w:val="en-US" w:eastAsia="zh-CN"/>
        </w:rPr>
        <w:t>乙方在维修保养过程中应尽量保护好原设施、设备。造成其它设施、设备损坏的应立即恢复达到完好。</w:t>
      </w:r>
    </w:p>
    <w:p w14:paraId="508166F4">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9.</w:t>
      </w:r>
      <w:r>
        <w:rPr>
          <w:rFonts w:hint="default" w:ascii="Times New Roman" w:hAnsi="Times New Roman" w:eastAsia="方正仿宋简体" w:cs="Times New Roman"/>
          <w:b w:val="0"/>
          <w:bCs w:val="0"/>
          <w:spacing w:val="2"/>
          <w:position w:val="1"/>
          <w:sz w:val="32"/>
          <w:szCs w:val="32"/>
          <w:lang w:val="en-US" w:eastAsia="zh-CN"/>
        </w:rPr>
        <w:t>消防部门检查工作时，乙方配合甲方要求到达现场，认真听取消防部门的意见，对消防系统存在的问题按要求进行整改和完善。</w:t>
      </w:r>
    </w:p>
    <w:p w14:paraId="126D6E3C">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10.</w:t>
      </w:r>
      <w:r>
        <w:rPr>
          <w:rFonts w:hint="default" w:ascii="Times New Roman" w:hAnsi="Times New Roman" w:eastAsia="方正仿宋简体" w:cs="Times New Roman"/>
          <w:b w:val="0"/>
          <w:bCs w:val="0"/>
          <w:spacing w:val="2"/>
          <w:position w:val="1"/>
          <w:sz w:val="32"/>
          <w:szCs w:val="32"/>
          <w:lang w:val="en-US" w:eastAsia="zh-CN"/>
        </w:rPr>
        <w:t>乙方不得将甲方消防系统工程分包或者转包给第三者。</w:t>
      </w:r>
    </w:p>
    <w:p w14:paraId="7B342761">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11.</w:t>
      </w:r>
      <w:r>
        <w:rPr>
          <w:rFonts w:hint="default" w:ascii="Times New Roman" w:hAnsi="Times New Roman" w:eastAsia="方正仿宋简体" w:cs="Times New Roman"/>
          <w:b w:val="0"/>
          <w:bCs w:val="0"/>
          <w:spacing w:val="2"/>
          <w:position w:val="1"/>
          <w:sz w:val="32"/>
          <w:szCs w:val="32"/>
          <w:lang w:val="en-US" w:eastAsia="zh-CN"/>
        </w:rPr>
        <w:t>乙方为甲方消防设备进行检测、维修、维护保养，应当严格遵守不影响区域业主正常生活的原则。</w:t>
      </w:r>
    </w:p>
    <w:p w14:paraId="66398DC0">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12.</w:t>
      </w:r>
      <w:r>
        <w:rPr>
          <w:rFonts w:hint="default" w:ascii="Times New Roman" w:hAnsi="Times New Roman" w:eastAsia="方正仿宋简体" w:cs="Times New Roman"/>
          <w:b w:val="0"/>
          <w:bCs w:val="0"/>
          <w:spacing w:val="2"/>
          <w:position w:val="1"/>
          <w:sz w:val="32"/>
          <w:szCs w:val="32"/>
          <w:lang w:val="en-US" w:eastAsia="zh-CN"/>
        </w:rPr>
        <w:t>甲方项目范围内的消防改造或者更换设备时，需经乙方同意，并由有设计资质的单位负责消防图纸设计和有施工资质的单位进行施工，由此所产生的费用由甲方承担。</w:t>
      </w:r>
    </w:p>
    <w:p w14:paraId="15F9DE8B">
      <w:pPr>
        <w:keepNext w:val="0"/>
        <w:keepLines w:val="0"/>
        <w:pageBreakBefore w:val="0"/>
        <w:kinsoku/>
        <w:wordWrap w:val="0"/>
        <w:overflowPunct/>
        <w:topLinePunct/>
        <w:autoSpaceDE/>
        <w:autoSpaceDN/>
        <w:bidi w:val="0"/>
        <w:spacing w:line="560" w:lineRule="exact"/>
        <w:ind w:firstLine="720" w:firstLineChars="225"/>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方正仿宋简体" w:hAnsi="方正仿宋简体" w:eastAsia="方正仿宋简体" w:cs="方正仿宋简体"/>
          <w:b/>
          <w:sz w:val="32"/>
          <w:szCs w:val="32"/>
        </w:rPr>
        <w:t>解决合同纠纷的方式</w:t>
      </w:r>
    </w:p>
    <w:p w14:paraId="067FC50B">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本合同执行过程中如发生纠纷，双方应先友好协商解决。协商未果，任何一方均可向甲方所在地人民法院提起诉讼解决。</w:t>
      </w:r>
    </w:p>
    <w:p w14:paraId="7487C78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方正仿宋简体" w:hAnsi="方正仿宋简体" w:eastAsia="方正仿宋简体" w:cs="方正仿宋简体"/>
          <w:b/>
          <w:sz w:val="32"/>
          <w:szCs w:val="32"/>
        </w:rPr>
        <w:t>合同生效及其他</w:t>
      </w:r>
    </w:p>
    <w:p w14:paraId="783EB4C3">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1.本合同自双方签字盖章后生效。合同附件与本合同具有同等法律效力。</w:t>
      </w:r>
    </w:p>
    <w:p w14:paraId="535E1E6E">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2.本合同未尽事宜，甲、乙双方另行协商并签定补充协议。</w:t>
      </w:r>
    </w:p>
    <w:p w14:paraId="512B10E4">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3.本合同一式肆份，甲方叁份、乙方壹份，经双方签字盖章后生效，具有同等法律效力</w:t>
      </w:r>
    </w:p>
    <w:p w14:paraId="5F162F72">
      <w:pPr>
        <w:keepNext w:val="0"/>
        <w:keepLines w:val="0"/>
        <w:pageBreakBefore w:val="0"/>
        <w:widowControl w:val="0"/>
        <w:kinsoku/>
        <w:wordWrap w:val="0"/>
        <w:overflowPunct/>
        <w:topLinePunct/>
        <w:autoSpaceDE/>
        <w:autoSpaceDN/>
        <w:bidi w:val="0"/>
        <w:adjustRightInd/>
        <w:snapToGrid/>
        <w:spacing w:line="560" w:lineRule="exact"/>
        <w:ind w:right="0" w:rightChars="0" w:firstLine="648" w:firstLineChars="200"/>
        <w:jc w:val="both"/>
        <w:textAlignment w:val="auto"/>
        <w:outlineLvl w:val="9"/>
        <w:rPr>
          <w:rFonts w:hint="eastAsia"/>
          <w:spacing w:val="8"/>
          <w:lang w:eastAsia="zh-CN"/>
        </w:rPr>
      </w:pPr>
      <w:r>
        <w:rPr>
          <w:rFonts w:hint="eastAsia" w:ascii="Times New Roman" w:hAnsi="Times New Roman" w:eastAsia="方正仿宋简体" w:cs="Times New Roman"/>
          <w:b w:val="0"/>
          <w:bCs w:val="0"/>
          <w:spacing w:val="2"/>
          <w:position w:val="1"/>
          <w:sz w:val="32"/>
          <w:szCs w:val="32"/>
          <w:lang w:val="en-US" w:eastAsia="zh-CN"/>
        </w:rPr>
        <w:t>（以下无正文）</w:t>
      </w:r>
      <w:bookmarkStart w:id="0" w:name="_GoBack"/>
      <w:bookmarkEnd w:id="0"/>
    </w:p>
    <w:p w14:paraId="4EAF86C4">
      <w:pPr>
        <w:pStyle w:val="2"/>
        <w:keepNext w:val="0"/>
        <w:keepLines w:val="0"/>
        <w:pageBreakBefore w:val="0"/>
        <w:kinsoku/>
        <w:wordWrap w:val="0"/>
        <w:overflowPunct/>
        <w:topLinePunct/>
        <w:autoSpaceDE/>
        <w:autoSpaceDN/>
        <w:bidi w:val="0"/>
        <w:spacing w:before="223" w:line="560" w:lineRule="exact"/>
        <w:ind w:right="933"/>
        <w:rPr>
          <w:rFonts w:hint="eastAsia"/>
          <w:spacing w:val="8"/>
          <w:lang w:eastAsia="zh-CN"/>
        </w:rPr>
      </w:pPr>
    </w:p>
    <w:p w14:paraId="2E0291F7">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（盖章）</w:t>
      </w:r>
      <w:r>
        <w:rPr>
          <w:rFonts w:hint="eastAsia" w:ascii="方正仿宋简体" w:hAnsi="方正仿宋简体" w:eastAsia="方正仿宋简体" w:cs="方正仿宋简体"/>
          <w:sz w:val="32"/>
          <w:szCs w:val="32"/>
          <w:lang w:val="en-US" w:eastAsia="zh-CN"/>
        </w:rPr>
        <w:t xml:space="preserve"> </w:t>
      </w:r>
    </w:p>
    <w:p w14:paraId="599F28DA">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法定代表人（授权代表）：       法定代表人（授权代表）：</w:t>
      </w:r>
    </w:p>
    <w:p w14:paraId="320E2D87">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地    址：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地    址：</w:t>
      </w:r>
    </w:p>
    <w:p w14:paraId="6E804EC5">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开户银行：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开户银行：</w:t>
      </w:r>
    </w:p>
    <w:p w14:paraId="166F5690">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号：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6F334991">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电    话：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电    话：</w:t>
      </w:r>
    </w:p>
    <w:p w14:paraId="26A47349">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p w14:paraId="336BE387">
      <w:pPr>
        <w:keepNext w:val="0"/>
        <w:keepLines w:val="0"/>
        <w:pageBreakBefore w:val="0"/>
        <w:kinsoku/>
        <w:wordWrap w:val="0"/>
        <w:overflowPunct/>
        <w:topLinePunct/>
        <w:autoSpaceDE/>
        <w:autoSpaceDN/>
        <w:bidi w:val="0"/>
        <w:spacing w:line="560" w:lineRule="exact"/>
      </w:pPr>
    </w:p>
    <w:p w14:paraId="6CA17961">
      <w:pPr>
        <w:pStyle w:val="2"/>
        <w:keepNext w:val="0"/>
        <w:keepLines w:val="0"/>
        <w:pageBreakBefore w:val="0"/>
        <w:kinsoku/>
        <w:wordWrap w:val="0"/>
        <w:overflowPunct/>
        <w:topLinePunct/>
        <w:autoSpaceDE/>
        <w:autoSpaceDN/>
        <w:bidi w:val="0"/>
        <w:spacing w:before="223" w:line="560" w:lineRule="exact"/>
        <w:ind w:left="30" w:right="933" w:firstLine="549"/>
        <w:rPr>
          <w:rFonts w:hint="eastAsia"/>
          <w:spacing w:val="8"/>
          <w:lang w:eastAsia="zh-CN"/>
        </w:rPr>
      </w:pPr>
    </w:p>
    <w:p w14:paraId="20476A4F">
      <w:pPr>
        <w:pStyle w:val="2"/>
        <w:keepNext w:val="0"/>
        <w:keepLines w:val="0"/>
        <w:pageBreakBefore w:val="0"/>
        <w:kinsoku/>
        <w:wordWrap w:val="0"/>
        <w:overflowPunct/>
        <w:topLinePunct/>
        <w:autoSpaceDE/>
        <w:autoSpaceDN/>
        <w:bidi w:val="0"/>
        <w:spacing w:before="223" w:line="296" w:lineRule="auto"/>
        <w:ind w:left="30" w:right="933" w:firstLine="549"/>
        <w:rPr>
          <w:rFonts w:hint="eastAsia"/>
          <w:spacing w:val="8"/>
          <w:lang w:eastAsia="zh-CN"/>
        </w:rPr>
      </w:pPr>
    </w:p>
    <w:p w14:paraId="1AADBD43">
      <w:pPr>
        <w:pStyle w:val="2"/>
        <w:keepNext w:val="0"/>
        <w:keepLines w:val="0"/>
        <w:pageBreakBefore w:val="0"/>
        <w:kinsoku/>
        <w:wordWrap w:val="0"/>
        <w:overflowPunct/>
        <w:topLinePunct/>
        <w:autoSpaceDE/>
        <w:autoSpaceDN/>
        <w:bidi w:val="0"/>
        <w:spacing w:before="223" w:line="296" w:lineRule="auto"/>
        <w:ind w:left="30" w:right="933" w:firstLine="549"/>
        <w:rPr>
          <w:rFonts w:hint="eastAsia"/>
          <w:spacing w:val="8"/>
          <w:lang w:eastAsia="zh-CN"/>
        </w:rPr>
      </w:pPr>
    </w:p>
    <w:p w14:paraId="0C2EE0FF">
      <w:pPr>
        <w:keepNext w:val="0"/>
        <w:keepLines w:val="0"/>
        <w:pageBreakBefore w:val="0"/>
        <w:kinsoku/>
        <w:wordWrap w:val="0"/>
        <w:overflowPunct/>
        <w:topLinePunct/>
        <w:autoSpaceDE/>
        <w:autoSpaceDN/>
        <w:bidi w:val="0"/>
        <w:spacing w:line="14" w:lineRule="auto"/>
        <w:rPr>
          <w:rFonts w:ascii="Arial"/>
          <w:sz w:val="2"/>
        </w:rPr>
      </w:pPr>
    </w:p>
    <w:p w14:paraId="43D75C97">
      <w:pPr>
        <w:keepNext w:val="0"/>
        <w:keepLines w:val="0"/>
        <w:pageBreakBefore w:val="0"/>
        <w:kinsoku/>
        <w:wordWrap w:val="0"/>
        <w:overflowPunct/>
        <w:topLinePunct/>
        <w:autoSpaceDE/>
        <w:autoSpaceDN/>
        <w:bidi w:val="0"/>
        <w:spacing w:line="14" w:lineRule="auto"/>
        <w:rPr>
          <w:rFonts w:ascii="Arial"/>
          <w:sz w:val="2"/>
        </w:rPr>
      </w:pPr>
    </w:p>
    <w:p w14:paraId="794ED3DF">
      <w:pPr>
        <w:keepNext w:val="0"/>
        <w:keepLines w:val="0"/>
        <w:pageBreakBefore w:val="0"/>
        <w:kinsoku/>
        <w:wordWrap w:val="0"/>
        <w:overflowPunct/>
        <w:topLinePunct/>
        <w:autoSpaceDE/>
        <w:autoSpaceDN/>
        <w:bidi w:val="0"/>
        <w:spacing w:line="14" w:lineRule="auto"/>
        <w:rPr>
          <w:rFonts w:ascii="Arial"/>
          <w:sz w:val="2"/>
        </w:rPr>
      </w:pPr>
    </w:p>
    <w:p w14:paraId="6193471F">
      <w:pPr>
        <w:keepNext w:val="0"/>
        <w:keepLines w:val="0"/>
        <w:pageBreakBefore w:val="0"/>
        <w:kinsoku/>
        <w:wordWrap w:val="0"/>
        <w:overflowPunct/>
        <w:topLinePunct/>
        <w:autoSpaceDE/>
        <w:autoSpaceDN/>
        <w:bidi w:val="0"/>
        <w:spacing w:line="14" w:lineRule="auto"/>
        <w:rPr>
          <w:rFonts w:ascii="Arial"/>
          <w:sz w:val="2"/>
        </w:rPr>
      </w:pPr>
    </w:p>
    <w:p w14:paraId="13E6630B">
      <w:pPr>
        <w:keepNext w:val="0"/>
        <w:keepLines w:val="0"/>
        <w:pageBreakBefore w:val="0"/>
        <w:kinsoku/>
        <w:wordWrap w:val="0"/>
        <w:overflowPunct/>
        <w:topLinePunct/>
        <w:autoSpaceDE/>
        <w:autoSpaceDN/>
        <w:bidi w:val="0"/>
        <w:spacing w:line="14" w:lineRule="auto"/>
        <w:rPr>
          <w:rFonts w:ascii="Arial"/>
          <w:sz w:val="2"/>
        </w:rPr>
      </w:pPr>
    </w:p>
    <w:p w14:paraId="2FAED093">
      <w:pPr>
        <w:keepNext w:val="0"/>
        <w:keepLines w:val="0"/>
        <w:pageBreakBefore w:val="0"/>
        <w:kinsoku/>
        <w:wordWrap w:val="0"/>
        <w:overflowPunct/>
        <w:topLinePunct/>
        <w:autoSpaceDE/>
        <w:autoSpaceDN/>
        <w:bidi w:val="0"/>
        <w:spacing w:line="14" w:lineRule="auto"/>
        <w:rPr>
          <w:rFonts w:ascii="Arial"/>
          <w:sz w:val="2"/>
        </w:rPr>
      </w:pPr>
    </w:p>
    <w:p w14:paraId="51452F17"/>
    <w:sectPr>
      <w:footerReference r:id="rId5" w:type="default"/>
      <w:pgSz w:w="11906" w:h="16838"/>
      <w:pgMar w:top="2098" w:right="1587" w:bottom="1587" w:left="1587" w:header="0" w:footer="1141" w:gutter="0"/>
      <w:pgNumType w:fmt="decimal"/>
      <w:cols w:equalWidth="0" w:num="1">
        <w:col w:w="102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C11A">
    <w:pPr>
      <w:spacing w:line="235" w:lineRule="auto"/>
      <w:ind w:left="579"/>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6353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6353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87C51"/>
    <w:rsid w:val="1828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2025-04-25T07:14:00Z</dcterms:created>
  <dc:creator>末未</dc:creator>
  <cp:lastModifiedBy>末未</cp:lastModifiedBy>
  <cp:lastPrinted>2025-04-25T07:20:12Z</cp:lastPrinted>
  <dcterms:modified xsi:type="dcterms:W3CDTF">2025-04-25T08:14:04Z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084376EC26B244C9B4D86ECFB8F665E1_11</vt:lpwstr>
  </property>
  <property fmtid="{D5CDD505-2E9C-101B-9397-08002B2CF9AE}" pid="4" name="KSOTemplateDocerSaveRecord">
    <vt:lpwstr>eyJoZGlkIjoiYWFiMWNhYzhiZTY2MGQzMWMxNTZjMjdiNDIwN2MzNGQiLCJ1c2VySWQiOiI3NDg0NDk2ODQifQ==</vt:lpwstr>
  </property>
</Properties>
</file>