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FF12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7407681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7CB0846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9E9F9D0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2D75C5D4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采购会展国际酒店UPS不间断电源及配套设备供应与安装调试服务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962"/>
        <w:gridCol w:w="1369"/>
        <w:gridCol w:w="1479"/>
        <w:gridCol w:w="1820"/>
      </w:tblGrid>
      <w:tr w14:paraId="3742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97" w:type="dxa"/>
            <w:gridSpan w:val="5"/>
            <w:noWrap w:val="0"/>
            <w:vAlign w:val="center"/>
          </w:tcPr>
          <w:p w14:paraId="572580F8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vertAlign w:val="baseline"/>
                <w:lang w:val="en-US" w:eastAsia="zh-CN"/>
              </w:rPr>
              <w:t>UPS不间断电源及配套设备供应及安装报价明细表</w:t>
            </w:r>
          </w:p>
        </w:tc>
      </w:tr>
      <w:tr w14:paraId="643F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noWrap w:val="0"/>
            <w:vAlign w:val="center"/>
          </w:tcPr>
          <w:p w14:paraId="248F9FD0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962" w:type="dxa"/>
            <w:noWrap w:val="0"/>
            <w:vAlign w:val="center"/>
          </w:tcPr>
          <w:p w14:paraId="2097F16E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具体参数</w:t>
            </w: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/规格</w:t>
            </w:r>
          </w:p>
        </w:tc>
        <w:tc>
          <w:tcPr>
            <w:tcW w:w="1369" w:type="dxa"/>
            <w:noWrap w:val="0"/>
            <w:vAlign w:val="center"/>
          </w:tcPr>
          <w:p w14:paraId="5B9AA549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79" w:type="dxa"/>
            <w:noWrap w:val="0"/>
            <w:vAlign w:val="center"/>
          </w:tcPr>
          <w:p w14:paraId="28870336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820" w:type="dxa"/>
            <w:noWrap w:val="0"/>
            <w:vAlign w:val="center"/>
          </w:tcPr>
          <w:p w14:paraId="18F824FC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报价金额</w:t>
            </w:r>
          </w:p>
          <w:p w14:paraId="712B4BCD">
            <w:pPr>
              <w:jc w:val="center"/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0"/>
                <w:szCs w:val="30"/>
                <w:vertAlign w:val="baseline"/>
                <w:lang w:val="en-US" w:eastAsia="zh-CN"/>
              </w:rPr>
              <w:t>（元）</w:t>
            </w:r>
          </w:p>
        </w:tc>
      </w:tr>
      <w:tr w14:paraId="405C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67" w:type="dxa"/>
            <w:noWrap w:val="0"/>
            <w:vAlign w:val="center"/>
          </w:tcPr>
          <w:p w14:paraId="4EC63AF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UPS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不间断电源</w:t>
            </w:r>
          </w:p>
        </w:tc>
        <w:tc>
          <w:tcPr>
            <w:tcW w:w="2962" w:type="dxa"/>
            <w:noWrap w:val="0"/>
            <w:vAlign w:val="center"/>
          </w:tcPr>
          <w:p w14:paraId="25BDAD1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1"/>
                <w:position w:val="1"/>
                <w:sz w:val="24"/>
                <w:szCs w:val="24"/>
                <w:lang w:val="en-US" w:eastAsia="zh-CN"/>
              </w:rPr>
              <w:t>功率型号：184KW＜设备功率≤200KW，满载15分钟</w:t>
            </w:r>
          </w:p>
        </w:tc>
        <w:tc>
          <w:tcPr>
            <w:tcW w:w="1369" w:type="dxa"/>
            <w:noWrap w:val="0"/>
            <w:vAlign w:val="center"/>
          </w:tcPr>
          <w:p w14:paraId="3A15BE4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全套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 w14:paraId="4E84917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包括但不限于：设备安装、调试、后期维护及保修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等服务</w:t>
            </w:r>
          </w:p>
        </w:tc>
        <w:tc>
          <w:tcPr>
            <w:tcW w:w="1820" w:type="dxa"/>
            <w:vMerge w:val="restart"/>
            <w:noWrap w:val="0"/>
            <w:vAlign w:val="center"/>
          </w:tcPr>
          <w:p w14:paraId="7FC345C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E65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67" w:type="dxa"/>
            <w:noWrap w:val="0"/>
            <w:vAlign w:val="center"/>
          </w:tcPr>
          <w:p w14:paraId="1A07E83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电力电缆</w:t>
            </w:r>
          </w:p>
        </w:tc>
        <w:tc>
          <w:tcPr>
            <w:tcW w:w="2962" w:type="dxa"/>
            <w:noWrap w:val="0"/>
            <w:vAlign w:val="center"/>
          </w:tcPr>
          <w:p w14:paraId="07B7298A">
            <w:pPr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YJV铜芯电缆</w:t>
            </w:r>
          </w:p>
        </w:tc>
        <w:tc>
          <w:tcPr>
            <w:tcW w:w="1369" w:type="dxa"/>
            <w:noWrap w:val="0"/>
            <w:vAlign w:val="center"/>
          </w:tcPr>
          <w:p w14:paraId="5B1862E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长约70米</w:t>
            </w:r>
          </w:p>
        </w:tc>
        <w:tc>
          <w:tcPr>
            <w:tcW w:w="1479" w:type="dxa"/>
            <w:vMerge w:val="continue"/>
            <w:noWrap w:val="0"/>
            <w:vAlign w:val="center"/>
          </w:tcPr>
          <w:p w14:paraId="418AED4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3A6B7B71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F53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67" w:type="dxa"/>
            <w:noWrap w:val="0"/>
            <w:vAlign w:val="center"/>
          </w:tcPr>
          <w:p w14:paraId="2CAD7B1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配电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2962" w:type="dxa"/>
            <w:noWrap w:val="0"/>
            <w:vAlign w:val="center"/>
          </w:tcPr>
          <w:p w14:paraId="535A967B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64C613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479" w:type="dxa"/>
            <w:vMerge w:val="continue"/>
            <w:noWrap w:val="0"/>
            <w:vAlign w:val="center"/>
          </w:tcPr>
          <w:p w14:paraId="38FABFA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5BFF8C2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</w:tbl>
    <w:p w14:paraId="2CDB75BC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6D9020B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0CADEC6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于税费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安装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、调试费、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维护费、保修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47459A0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4D62894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118E47EB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F1B13A5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0E0FF6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104C6E7E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F82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15533"/>
    <w:rsid w:val="4D7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2025-04-09T09:31:00Z</dcterms:created>
  <dc:creator>浩南</dc:creator>
  <cp:lastModifiedBy>浩南</cp:lastModifiedBy>
  <dcterms:modified xsi:type="dcterms:W3CDTF">2025-04-09T09:32:07Z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62CC7275E2A94888977436A259FE0EE9_11</vt:lpwstr>
  </property>
  <property fmtid="{D5CDD505-2E9C-101B-9397-08002B2CF9AE}" pid="4" name="KSOTemplateDocerSaveRecord">
    <vt:lpwstr>eyJoZGlkIjoiYWFiMWNhYzhiZTY2MGQzMWMxNTZjMjdiNDIwN2MzNGQiLCJ1c2VySWQiOiI2Nzk2ODUwNTMifQ==</vt:lpwstr>
  </property>
</Properties>
</file>