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816"/>
        </w:tabs>
        <w:bidi w:val="0"/>
        <w:jc w:val="left"/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-1"/>
          <w:kern w:val="0"/>
          <w:position w:val="1"/>
          <w:sz w:val="31"/>
          <w:szCs w:val="31"/>
          <w:lang w:val="en-US" w:eastAsia="en-US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-1"/>
          <w:kern w:val="0"/>
          <w:position w:val="1"/>
          <w:sz w:val="31"/>
          <w:szCs w:val="31"/>
          <w:lang w:val="en-US" w:eastAsia="en-US" w:bidi="ar-SA"/>
        </w:rPr>
        <w:t>附件</w:t>
      </w:r>
    </w:p>
    <w:p>
      <w:pPr>
        <w:spacing w:before="318" w:line="446" w:lineRule="exact"/>
        <w:ind w:left="3703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5"/>
          <w:position w:val="-2"/>
          <w:sz w:val="44"/>
          <w:szCs w:val="44"/>
        </w:rPr>
        <w:t>报价函</w:t>
      </w:r>
    </w:p>
    <w:p>
      <w:pPr>
        <w:spacing w:line="307" w:lineRule="auto"/>
        <w:rPr>
          <w:rFonts w:hint="default" w:ascii="Times New Roman" w:hAnsi="Times New Roman" w:eastAsia="方正仿宋简体" w:cs="Times New Roman"/>
          <w:b w:val="0"/>
          <w:bCs w:val="0"/>
          <w:sz w:val="21"/>
        </w:rPr>
      </w:pPr>
    </w:p>
    <w:p>
      <w:pPr>
        <w:spacing w:line="307" w:lineRule="auto"/>
        <w:rPr>
          <w:rFonts w:hint="default" w:ascii="Times New Roman" w:hAnsi="Times New Roman" w:eastAsia="方正仿宋简体" w:cs="Times New Roman"/>
          <w:b w:val="0"/>
          <w:bCs w:val="0"/>
          <w:sz w:val="21"/>
        </w:rPr>
      </w:pPr>
    </w:p>
    <w:p>
      <w:pPr>
        <w:spacing w:line="308" w:lineRule="auto"/>
        <w:rPr>
          <w:rFonts w:hint="default" w:ascii="Times New Roman" w:hAnsi="Times New Roman" w:eastAsia="方正仿宋简体" w:cs="Times New Roman"/>
          <w:b w:val="0"/>
          <w:bCs w:val="0"/>
          <w:sz w:val="21"/>
        </w:rPr>
      </w:pPr>
    </w:p>
    <w:p>
      <w:pPr>
        <w:pStyle w:val="2"/>
        <w:keepNext w:val="0"/>
        <w:keepLines w:val="0"/>
        <w:pageBreakBefore w:val="0"/>
        <w:widowControl/>
        <w:tabs>
          <w:tab w:val="left" w:pos="239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60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>广汉市弘诚金雁宾馆有限责任公司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</w:rPr>
        <w:t>：</w:t>
      </w:r>
    </w:p>
    <w:p>
      <w:pPr>
        <w:pStyle w:val="2"/>
        <w:keepNext w:val="0"/>
        <w:keepLines w:val="0"/>
        <w:pageBreakBefore w:val="0"/>
        <w:widowControl/>
        <w:tabs>
          <w:tab w:val="left" w:pos="239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600" w:lineRule="exact"/>
        <w:ind w:firstLine="624" w:firstLineChars="200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38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  <w:lang w:val="en-US" w:eastAsia="zh-CN"/>
        </w:rPr>
        <w:t>关于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  <w:u w:val="single"/>
          <w:lang w:val="en-US" w:eastAsia="zh-CN"/>
        </w:rPr>
        <w:t>金雁宾馆咖啡厅采购家具供应商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  <w:u w:val="single" w:color="auto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"/>
          <w:sz w:val="32"/>
          <w:szCs w:val="32"/>
        </w:rPr>
        <w:t>结合该事项的特点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及服务内容，经仔细研究决定，我方</w:t>
      </w:r>
      <w:r>
        <w:rPr>
          <w:rFonts w:hint="default" w:ascii="Times New Roman" w:hAnsi="Times New Roman" w:eastAsia="方正仿宋简体" w:cs="Times New Roman"/>
          <w:b w:val="0"/>
          <w:bCs w:val="0"/>
          <w:spacing w:val="27"/>
          <w:sz w:val="32"/>
          <w:szCs w:val="32"/>
          <w:u w:val="single" w:color="auto"/>
        </w:rPr>
        <w:t xml:space="preserve">   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>（单位的名称）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  <w:r>
        <w:rPr>
          <w:rFonts w:hint="default" w:ascii="Times New Roman" w:hAnsi="Times New Roman" w:eastAsia="方正仿宋简体" w:cs="Times New Roman"/>
          <w:b w:val="0"/>
          <w:bCs w:val="0"/>
          <w:spacing w:val="-107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的报价金额为¥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 xml:space="preserve">            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5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元（大写：人民币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68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8"/>
          <w:sz w:val="32"/>
          <w:szCs w:val="32"/>
        </w:rPr>
        <w:t>)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8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tabs>
          <w:tab w:val="left" w:pos="960"/>
          <w:tab w:val="left" w:pos="1279"/>
          <w:tab w:val="left" w:pos="873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8" w:line="600" w:lineRule="exact"/>
        <w:jc w:val="both"/>
        <w:textAlignment w:val="baseline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产品内容与要求如下：</w:t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5"/>
        <w:tblW w:w="92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634"/>
        <w:gridCol w:w="916"/>
        <w:gridCol w:w="700"/>
        <w:gridCol w:w="367"/>
        <w:gridCol w:w="517"/>
        <w:gridCol w:w="483"/>
        <w:gridCol w:w="550"/>
        <w:gridCol w:w="4033"/>
        <w:gridCol w:w="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236" w:type="dxa"/>
            <w:gridSpan w:val="10"/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金雁宾馆咖啡厅家具报价明细表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586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产品编号</w:t>
            </w:r>
          </w:p>
        </w:tc>
        <w:tc>
          <w:tcPr>
            <w:tcW w:w="634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图片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规格型号（m）</w:t>
            </w:r>
          </w:p>
        </w:tc>
        <w:tc>
          <w:tcPr>
            <w:tcW w:w="367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517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总金额</w:t>
            </w:r>
          </w:p>
        </w:tc>
        <w:tc>
          <w:tcPr>
            <w:tcW w:w="4033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材质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</w:trPr>
        <w:tc>
          <w:tcPr>
            <w:tcW w:w="586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34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单人沙发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1085850</wp:posOffset>
                  </wp:positionV>
                  <wp:extent cx="467995" cy="541655"/>
                  <wp:effectExtent l="0" t="0" r="8255" b="10795"/>
                  <wp:wrapNone/>
                  <wp:docPr id="1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995" cy="541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650*770*790</w:t>
            </w:r>
          </w:p>
        </w:tc>
        <w:tc>
          <w:tcPr>
            <w:tcW w:w="367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517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550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4033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面料：需采用优质面料，触感舒适，质量需符合GB/T16799-2018、QB/T1952.1-2012的标准，2、主体框架：需采用环保优质橡胶木实木框架，结构稳定、坚固耐用，经防潮、防虫、防腐处理，刚性好、不变形，不开裂，符合GB/T3324-2017和GB18584-2001标准，3、海绵:坐感舒适、经久耐用，海绵质量符合GB/T 1080-2006的标准；4、抱枕：优质布艺；5、油漆：经二底一面工艺，硬度高，符合国家环保要求，需符合GB 24410-2009标准；6、五金件：优质锌合金，耐用坚固、防锈，符合GB/T28203-2011、QB/T 1242-2021、QB/T3827-1999（2009）、QB/T3832-1999(2009)的标准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扶手有造型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86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34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茶几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bookmarkStart w:id="0" w:name="_GoBack"/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481965</wp:posOffset>
                  </wp:positionV>
                  <wp:extent cx="446405" cy="528955"/>
                  <wp:effectExtent l="0" t="0" r="10795" b="4445"/>
                  <wp:wrapNone/>
                  <wp:docPr id="3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405" cy="528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1200*600*650</w:t>
            </w:r>
          </w:p>
        </w:tc>
        <w:tc>
          <w:tcPr>
            <w:tcW w:w="367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517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550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4033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1、面材：选用优质木皮贴面，木纹纹路自然清晰，厚度均匀，需符合GB/T3324-2017和GB18584-2001标准，2.五金件：优质锌合金，耐用坚固、防锈，符合GB/T28203-2011、QB/T 1242-2021、QB/T3827-1999（2009）、QB/T3832-1999(2009)的标准；3.材质：优质的实木多层板、结构稳定、坚固耐用，经防潮、防虫、防腐处理，刚性好、不变形，不开裂，符合GB/T3324-2017和GB18584-2001标准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</w:trPr>
        <w:tc>
          <w:tcPr>
            <w:tcW w:w="586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34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双人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沙发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725805</wp:posOffset>
                  </wp:positionV>
                  <wp:extent cx="393700" cy="371475"/>
                  <wp:effectExtent l="0" t="0" r="6350" b="9525"/>
                  <wp:wrapNone/>
                  <wp:docPr id="2" name="图片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1300*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770*790</w:t>
            </w:r>
          </w:p>
        </w:tc>
        <w:tc>
          <w:tcPr>
            <w:tcW w:w="367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517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550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4033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面料：需采用优质面料，触感舒适，质量需符合GB/T16799-2018、QB/T1952.1-2012的标准，2、主体框架：需采用环保优质橡胶木实木框架，结构稳定、坚固耐用，经防潮、防虫、防腐处理，刚性好、不变形，不开裂，符合GB/T3324-2017和GB18584-2001标准，3、海绵:坐感舒适、经久耐用，海绵质量符合GB/T 1080-2006的标准；4、抱枕：优质布艺；5、油漆：经二底一面工艺，硬度高，符合国家环保要求，需符合GB 24410-2009标准；6、五金件：优质锌合金，耐用坚固、防锈，符合GB/T28203-2011、QB/T 1242-2021、QB/T3827-1999（2009）、QB/T3832-1999(2009)的标准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扶手有造型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</w:trPr>
        <w:tc>
          <w:tcPr>
            <w:tcW w:w="586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34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装饰柜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52070</wp:posOffset>
                  </wp:positionH>
                  <wp:positionV relativeFrom="paragraph">
                    <wp:posOffset>558165</wp:posOffset>
                  </wp:positionV>
                  <wp:extent cx="330200" cy="713105"/>
                  <wp:effectExtent l="0" t="0" r="12700" b="10795"/>
                  <wp:wrapNone/>
                  <wp:docPr id="4" name="图片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713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1500*1900*300</w:t>
            </w:r>
          </w:p>
        </w:tc>
        <w:tc>
          <w:tcPr>
            <w:tcW w:w="367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17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550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4033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1、面材：选用优质木皮贴面，木纹纹路自然清晰，厚度均匀，需符合GB/T3324-2017和GB18584-2001标准，2.五金件：优质锌合金，耐用坚固、防锈，符合GB/T28203-2011、QB/T 1242-2021、QB/T3827-1999（2009）、QB/T3832-1999(2009)的标准；3.材质：优质的实木多层板、结构稳定、坚固耐用，经防潮、防虫、防腐处理，刚性好、不变形，不开裂，符合GB/T3324-2017和GB18584-2001标准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86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2617" w:type="dxa"/>
            <w:gridSpan w:val="4"/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7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550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4033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</w:tbl>
    <w:p>
      <w:pPr>
        <w:pStyle w:val="2"/>
        <w:spacing w:before="163" w:line="417" w:lineRule="exact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报价有效期（不低于30天）：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           </w:t>
      </w:r>
    </w:p>
    <w:p>
      <w:pP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single"/>
          <w:lang w:val="en-US" w:eastAsia="zh-CN" w:bidi="ar-SA"/>
        </w:rPr>
      </w:pPr>
    </w:p>
    <w:p>
      <w:pP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single"/>
          <w:lang w:val="en-US" w:eastAsia="zh-CN" w:bidi="ar-SA"/>
        </w:rPr>
      </w:pPr>
    </w:p>
    <w:p>
      <w:pPr>
        <w:pStyle w:val="2"/>
        <w:spacing w:before="78" w:line="376" w:lineRule="auto"/>
        <w:ind w:right="2" w:firstLine="544" w:firstLineChars="200"/>
        <w:jc w:val="both"/>
        <w:rPr>
          <w:rFonts w:hint="default" w:ascii="Times New Roman" w:hAnsi="Times New Roman" w:eastAsia="方正仿宋简体" w:cs="Times New Roman"/>
          <w:b w:val="0"/>
          <w:bCs w:val="0"/>
          <w:spacing w:val="-5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注： 所有报价均用人民币表示，其总价即为履行合同的固定价格，该费用为固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</w:rPr>
        <w:t>定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  <w:lang w:val="en-US" w:eastAsia="zh-CN"/>
        </w:rPr>
        <w:t>单价包干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</w:rPr>
        <w:t>，包括但不限于</w:t>
      </w: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u w:val="none"/>
        </w:rPr>
        <w:t>税费</w:t>
      </w: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u w:val="none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u w:val="none"/>
          <w:lang w:val="en-US" w:eastAsia="zh-CN"/>
        </w:rPr>
        <w:t>材料费、运输费等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</w:rPr>
        <w:t>为完成本项目约定服务的所有费用，以及</w:t>
      </w:r>
      <w:r>
        <w:rPr>
          <w:rFonts w:hint="default" w:ascii="Times New Roman" w:hAnsi="Times New Roman" w:eastAsia="方正仿宋简体" w:cs="Times New Roman"/>
          <w:b w:val="0"/>
          <w:bCs w:val="0"/>
          <w:spacing w:val="-5"/>
          <w:sz w:val="28"/>
          <w:szCs w:val="28"/>
        </w:rPr>
        <w:t>后续服务费。</w:t>
      </w:r>
    </w:p>
    <w:p>
      <w:pPr>
        <w:rPr>
          <w:rFonts w:hint="default" w:ascii="Times New Roman" w:hAnsi="Times New Roman" w:eastAsia="方正仿宋简体" w:cs="Times New Roman"/>
          <w:b w:val="0"/>
          <w:bCs w:val="0"/>
          <w:spacing w:val="-5"/>
          <w:sz w:val="28"/>
          <w:szCs w:val="28"/>
        </w:rPr>
      </w:pPr>
    </w:p>
    <w:p>
      <w:pPr>
        <w:rPr>
          <w:rFonts w:hint="default" w:ascii="Times New Roman" w:hAnsi="Times New Roman" w:eastAsia="方正仿宋简体" w:cs="Times New Roman"/>
          <w:b w:val="0"/>
          <w:bCs w:val="0"/>
          <w:spacing w:val="-5"/>
          <w:sz w:val="28"/>
          <w:szCs w:val="28"/>
        </w:rPr>
      </w:pPr>
    </w:p>
    <w:p>
      <w:pPr>
        <w:pStyle w:val="2"/>
        <w:tabs>
          <w:tab w:val="left" w:pos="8055"/>
        </w:tabs>
        <w:spacing w:before="101" w:line="336" w:lineRule="auto"/>
        <w:ind w:right="673" w:firstLine="4004" w:firstLineChars="1300"/>
        <w:jc w:val="both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6"/>
          <w:sz w:val="32"/>
          <w:szCs w:val="32"/>
        </w:rPr>
        <w:t>单位名称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2"/>
          <w:sz w:val="32"/>
          <w:szCs w:val="32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spacing w:val="37"/>
          <w:sz w:val="32"/>
          <w:szCs w:val="32"/>
          <w:u w:val="single" w:color="auto"/>
        </w:rPr>
        <w:t xml:space="preserve">  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2"/>
          <w:sz w:val="32"/>
          <w:szCs w:val="32"/>
          <w:u w:val="single" w:color="auto"/>
        </w:rPr>
        <w:t>（</w:t>
      </w:r>
      <w:r>
        <w:rPr>
          <w:rFonts w:hint="default" w:ascii="Times New Roman" w:hAnsi="Times New Roman" w:eastAsia="方正仿宋简体" w:cs="Times New Roman"/>
          <w:b w:val="0"/>
          <w:bCs w:val="0"/>
          <w:spacing w:val="-6"/>
          <w:sz w:val="32"/>
          <w:szCs w:val="32"/>
          <w:u w:val="single" w:color="auto"/>
        </w:rPr>
        <w:t>公章）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>
      <w:pPr>
        <w:pStyle w:val="2"/>
        <w:tabs>
          <w:tab w:val="left" w:pos="8055"/>
        </w:tabs>
        <w:spacing w:before="101" w:line="336" w:lineRule="auto"/>
        <w:ind w:left="3591" w:right="673" w:firstLine="9"/>
        <w:jc w:val="both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联</w:t>
      </w:r>
      <w:r>
        <w:rPr>
          <w:rFonts w:hint="default" w:ascii="Times New Roman" w:hAnsi="Times New Roman" w:eastAsia="方正仿宋简体" w:cs="Times New Roman"/>
          <w:b w:val="0"/>
          <w:bCs w:val="0"/>
          <w:spacing w:val="48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系</w:t>
      </w:r>
      <w:r>
        <w:rPr>
          <w:rFonts w:hint="default" w:ascii="Times New Roman" w:hAnsi="Times New Roman" w:eastAsia="方正仿宋简体" w:cs="Times New Roman"/>
          <w:b w:val="0"/>
          <w:bCs w:val="0"/>
          <w:spacing w:val="29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人：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>
      <w:pPr>
        <w:pStyle w:val="2"/>
        <w:tabs>
          <w:tab w:val="left" w:pos="8055"/>
        </w:tabs>
        <w:spacing w:before="101" w:line="336" w:lineRule="auto"/>
        <w:ind w:left="3591" w:right="673" w:firstLine="9"/>
        <w:jc w:val="both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32"/>
          <w:szCs w:val="32"/>
        </w:rPr>
        <w:t>联系电话：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>
      <w:pPr>
        <w:pStyle w:val="2"/>
        <w:tabs>
          <w:tab w:val="left" w:pos="8055"/>
        </w:tabs>
        <w:spacing w:before="101" w:line="336" w:lineRule="auto"/>
        <w:ind w:left="3591" w:right="673" w:firstLine="280" w:firstLineChars="104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日</w:t>
      </w:r>
      <w:r>
        <w:rPr>
          <w:rFonts w:hint="default" w:ascii="Times New Roman" w:hAnsi="Times New Roman" w:eastAsia="方正仿宋简体" w:cs="Times New Roman"/>
          <w:b w:val="0"/>
          <w:bCs w:val="0"/>
          <w:spacing w:val="13"/>
          <w:sz w:val="32"/>
          <w:szCs w:val="32"/>
        </w:rPr>
        <w:t xml:space="preserve"> </w:t>
      </w:r>
      <w:r>
        <w:rPr>
          <w:rFonts w:hint="eastAsia" w:ascii="Times New Roman" w:hAnsi="Times New Roman" w:eastAsia="方正仿宋简体" w:cs="Times New Roman"/>
          <w:b w:val="0"/>
          <w:bCs w:val="0"/>
          <w:spacing w:val="13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1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期：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55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5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none" w:color="auto"/>
          <w:lang w:val="en-US" w:eastAsia="zh-CN"/>
        </w:rPr>
        <w:t>日</w:t>
      </w:r>
    </w:p>
    <w:p/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iMWNhYzhiZTY2MGQzMWMxNTZjMjdiNDIwN2MzNGQifQ=="/>
  </w:docVars>
  <w:rsids>
    <w:rsidRoot w:val="23E6238D"/>
    <w:rsid w:val="23E6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2025-02-27T02:03:00Z</dcterms:created>
  <dc:creator>浩南</dc:creator>
  <cp:lastModifiedBy>浩南</cp:lastModifiedBy>
  <dcterms:modified xsi:type="dcterms:W3CDTF">2025-02-27T02:03:55Z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E8D917F17913484D8B38E2A45112D855_11</vt:lpwstr>
  </property>
</Properties>
</file>