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-SA"/>
        </w:rPr>
        <w:t>报价函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>广汉市汇鑫实业有限责任公司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关于经营性资产租赁权拍卖服务，结合该事项的特点及内容，经仔细研究决定，广汉市汇鑫实业有限责任公司不承担任何佣金费用，我方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（单位名称）向买受人收取佣金比例为拍卖成交价的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3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单位名称：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联 系 人：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联系电话：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日    期：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</w:t>
      </w:r>
    </w:p>
    <w:p>
      <w:pPr>
        <w:pStyle w:val="3"/>
        <w:wordWrap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</w:pPr>
    </w:p>
    <w:p>
      <w:pP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E05B7"/>
    <w:rsid w:val="3613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2024-12-13T07:57:00Z</dcterms:created>
  <dc:creator>hp</dc:creator>
  <cp:lastModifiedBy>hp</cp:lastModifiedBy>
  <dcterms:modified xsi:type="dcterms:W3CDTF">2024-12-17T07:04:11Z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