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5029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第二污水处理厂检测指标及检测频次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26"/>
        <w:gridCol w:w="2033"/>
        <w:gridCol w:w="4625"/>
      </w:tblGrid>
      <w:tr w14:paraId="2B22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D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检测类别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检测内容</w:t>
            </w:r>
          </w:p>
        </w:tc>
        <w:tc>
          <w:tcPr>
            <w:tcW w:w="4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8AF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bookmarkStart w:id="0" w:name="OLE_LINK5" w:colFirst="8" w:colLast="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厂界（无组织废气）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9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臭气浓度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5FBB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5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740E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氨（氨气）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16FA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厂区体积浓度最高处废气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甲烷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1个点位，1次/年，每次4个样</w:t>
            </w:r>
          </w:p>
        </w:tc>
      </w:tr>
      <w:tr w14:paraId="7AA0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EA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87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F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39B6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1EB5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总铅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1B3C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8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9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385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E08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六价铬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3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A4E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9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石油类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1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06E9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26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烷基汞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387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阴离子表面活性剂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6B86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动植物油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23C2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5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粪大肠菌群数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6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59A7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1" w:name="OLE_LINK7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污泥</w:t>
            </w:r>
            <w:bookmarkEnd w:id="1"/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9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有机物降解率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3048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F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虫卵死亡率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0B31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粪大肠菌群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7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16F0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噪音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OLE_LINK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厂界噪音</w:t>
            </w:r>
            <w:bookmarkEnd w:id="2"/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1季度/1次，每次4个点位、昼、夜各一次</w:t>
            </w:r>
          </w:p>
        </w:tc>
      </w:tr>
      <w:bookmarkEnd w:id="0"/>
      <w:tr w14:paraId="3FD4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注：</w:t>
            </w:r>
            <w:bookmarkStart w:id="3" w:name="OLE_LINK4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根据环保最新要求，</w:t>
            </w:r>
            <w:bookmarkStart w:id="4" w:name="OLE_LINK3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污水处理厂废水采样，连续排放时，</w:t>
            </w:r>
            <w:bookmarkStart w:id="5" w:name="OLE_LINK6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采样间隔4小时采样一次</w:t>
            </w:r>
            <w:bookmarkEnd w:id="3"/>
            <w:bookmarkEnd w:id="4"/>
            <w:bookmarkEnd w:id="5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，且无组织废气检测，4个点位同时检测，连续排放间隔2h采集一次，共采集4次</w:t>
            </w:r>
          </w:p>
        </w:tc>
      </w:tr>
    </w:tbl>
    <w:p w14:paraId="5CD80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</w:p>
    <w:p w14:paraId="0A55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64735" cy="355790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E77F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sz w:val="28"/>
          <w:szCs w:val="36"/>
          <w:lang w:eastAsia="zh-CN"/>
        </w:rPr>
        <w:t>《</w:t>
      </w:r>
      <w:r>
        <w:rPr>
          <w:rFonts w:hint="default" w:ascii="Times New Roman" w:hAnsi="Times New Roman" w:cs="Times New Roman"/>
          <w:sz w:val="28"/>
          <w:szCs w:val="36"/>
        </w:rPr>
        <w:t>恶臭污染物排放标准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》（</w:t>
      </w:r>
      <w:r>
        <w:rPr>
          <w:rFonts w:hint="default" w:ascii="Times New Roman" w:hAnsi="Times New Roman" w:cs="Times New Roman"/>
          <w:sz w:val="28"/>
          <w:szCs w:val="36"/>
        </w:rPr>
        <w:t>GB18554-93</w:t>
      </w:r>
      <w:r>
        <w:rPr>
          <w:rFonts w:hint="eastAsia" w:ascii="Times New Roman" w:hAnsi="Times New Roman" w:cs="Times New Roman"/>
          <w:sz w:val="28"/>
          <w:szCs w:val="36"/>
          <w:lang w:eastAsia="zh-CN"/>
        </w:rPr>
        <w:t>）</w:t>
      </w:r>
    </w:p>
    <w:p w14:paraId="55E8B3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173980" cy="2768600"/>
            <wp:effectExtent l="0" t="0" r="762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BA22B">
      <w:pPr>
        <w:jc w:val="center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bookmarkStart w:id="6" w:name="OLE_LINK2"/>
      <w:bookmarkStart w:id="7" w:name="OLE_LINK1"/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《污水监测技术规范》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HJ 91.1-2019</w:t>
      </w:r>
      <w:bookmarkEnd w:id="6"/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）</w:t>
      </w:r>
      <w:bookmarkEnd w:id="7"/>
    </w:p>
    <w:p w14:paraId="6464ABFE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A357A9B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2AB307D"/>
    <w:rsid w:val="23B34E4F"/>
    <w:rsid w:val="274876F6"/>
    <w:rsid w:val="436E2B0A"/>
    <w:rsid w:val="4B667F63"/>
    <w:rsid w:val="4EBF750B"/>
    <w:rsid w:val="555F10F6"/>
    <w:rsid w:val="5DAB78D0"/>
    <w:rsid w:val="694C7F53"/>
    <w:rsid w:val="72D0701D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10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1287</Characters>
  <Lines>0</Lines>
  <Paragraphs>0</Paragraphs>
  <TotalTime>0</TotalTime>
  <ScaleCrop>false</ScaleCrop>
  <LinksUpToDate>false</LinksUpToDate>
  <CharactersWithSpaces>1299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2024-10-16T06:59:46Z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02AFA87F97A243D0A0B8040B745E0DC1_13</vt:lpwstr>
  </property>
</Properties>
</file>