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F48F1">
      <w:pPr>
        <w:pStyle w:val="3"/>
        <w:jc w:val="left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2</w:t>
      </w:r>
    </w:p>
    <w:p w14:paraId="08127AC2">
      <w:pPr>
        <w:pStyle w:val="2"/>
        <w:rPr>
          <w:rFonts w:ascii="Times New Roman" w:hAnsi="Times New Roman" w:eastAsia="方正仿宋简体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</w:rPr>
        <w:t>报价表模板：</w:t>
      </w:r>
      <w:bookmarkStart w:id="0" w:name="_GoBack"/>
      <w:bookmarkEnd w:id="0"/>
    </w:p>
    <w:p w14:paraId="195B075A">
      <w:pPr>
        <w:jc w:val="center"/>
        <w:rPr>
          <w:rFonts w:ascii="Times New Roman" w:hAnsi="Times New Roman" w:eastAsia="方正仿宋简体"/>
          <w:b w:val="0"/>
          <w:bCs w:val="0"/>
        </w:rPr>
      </w:pPr>
      <w:r>
        <w:rPr>
          <w:rFonts w:hint="eastAsia" w:ascii="方正黑体简体" w:hAnsi="方正黑体简体" w:eastAsia="方正黑体简体" w:cs="方正黑体简体"/>
          <w:sz w:val="32"/>
          <w:szCs w:val="28"/>
        </w:rPr>
        <w:t>项目报价表</w:t>
      </w:r>
      <w:r>
        <w:rPr>
          <w:rFonts w:hint="eastAsia" w:ascii="方正黑体简体" w:hAnsi="方正黑体简体" w:eastAsia="方正黑体简体" w:cs="方正黑体简体"/>
          <w:sz w:val="32"/>
          <w:szCs w:val="28"/>
          <w:lang w:val="en-US" w:eastAsia="zh-CN"/>
        </w:rPr>
        <w:t>表格格式可根据实际情况调整</w:t>
      </w:r>
    </w:p>
    <w:tbl>
      <w:tblPr>
        <w:tblStyle w:val="5"/>
        <w:tblpPr w:leftFromText="180" w:rightFromText="180" w:vertAnchor="text" w:horzAnchor="page" w:tblpX="1500" w:tblpY="576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59"/>
        <w:gridCol w:w="924"/>
        <w:gridCol w:w="916"/>
        <w:gridCol w:w="1088"/>
        <w:gridCol w:w="1020"/>
        <w:gridCol w:w="885"/>
        <w:gridCol w:w="945"/>
        <w:gridCol w:w="1185"/>
      </w:tblGrid>
      <w:tr w14:paraId="4CC4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8" w:type="dxa"/>
            <w:vAlign w:val="center"/>
          </w:tcPr>
          <w:p w14:paraId="525FC8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1059" w:type="dxa"/>
            <w:vAlign w:val="center"/>
          </w:tcPr>
          <w:p w14:paraId="15A45A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40" w:type="dxa"/>
            <w:gridSpan w:val="2"/>
            <w:vAlign w:val="center"/>
          </w:tcPr>
          <w:p w14:paraId="17CAD0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项目特征描述</w:t>
            </w:r>
          </w:p>
        </w:tc>
        <w:tc>
          <w:tcPr>
            <w:tcW w:w="1088" w:type="dxa"/>
            <w:vAlign w:val="center"/>
          </w:tcPr>
          <w:p w14:paraId="28A4A3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1020" w:type="dxa"/>
            <w:vAlign w:val="center"/>
          </w:tcPr>
          <w:p w14:paraId="326DD8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center"/>
          </w:tcPr>
          <w:p w14:paraId="73B0F0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单价</w:t>
            </w:r>
          </w:p>
        </w:tc>
        <w:tc>
          <w:tcPr>
            <w:tcW w:w="945" w:type="dxa"/>
            <w:vAlign w:val="center"/>
          </w:tcPr>
          <w:p w14:paraId="19A6F5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总价</w:t>
            </w:r>
          </w:p>
        </w:tc>
        <w:tc>
          <w:tcPr>
            <w:tcW w:w="1185" w:type="dxa"/>
            <w:vAlign w:val="center"/>
          </w:tcPr>
          <w:p w14:paraId="0ED6BD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 w14:paraId="3399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8" w:type="dxa"/>
            <w:vMerge w:val="restart"/>
            <w:vAlign w:val="center"/>
          </w:tcPr>
          <w:p w14:paraId="69A521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059" w:type="dxa"/>
            <w:vMerge w:val="restart"/>
            <w:vAlign w:val="center"/>
          </w:tcPr>
          <w:p w14:paraId="364D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湘潭路农贸市场泡沫夹芯板更换防火隔热板材</w:t>
            </w:r>
          </w:p>
        </w:tc>
        <w:tc>
          <w:tcPr>
            <w:tcW w:w="924" w:type="dxa"/>
            <w:vMerge w:val="restart"/>
            <w:vAlign w:val="center"/>
          </w:tcPr>
          <w:p w14:paraId="77FEDC61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拆除</w:t>
            </w:r>
          </w:p>
        </w:tc>
        <w:tc>
          <w:tcPr>
            <w:tcW w:w="916" w:type="dxa"/>
            <w:vAlign w:val="center"/>
          </w:tcPr>
          <w:p w14:paraId="78CCC459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088" w:type="dxa"/>
            <w:vMerge w:val="restart"/>
            <w:vAlign w:val="center"/>
          </w:tcPr>
          <w:p w14:paraId="1552A8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800</w:t>
            </w:r>
          </w:p>
        </w:tc>
        <w:tc>
          <w:tcPr>
            <w:tcW w:w="1020" w:type="dxa"/>
            <w:vMerge w:val="restart"/>
            <w:vAlign w:val="center"/>
          </w:tcPr>
          <w:p w14:paraId="3F3C2E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m²</w:t>
            </w:r>
          </w:p>
        </w:tc>
        <w:tc>
          <w:tcPr>
            <w:tcW w:w="885" w:type="dxa"/>
            <w:vMerge w:val="restart"/>
            <w:vAlign w:val="center"/>
          </w:tcPr>
          <w:p w14:paraId="0599E3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6F2F2C9B">
            <w:pPr>
              <w:widowControl w:val="0"/>
              <w:bidi w:val="0"/>
              <w:rPr>
                <w:rFonts w:hint="default"/>
                <w:lang w:val="en-US" w:eastAsia="zh-CN"/>
              </w:rPr>
            </w:pPr>
          </w:p>
          <w:p w14:paraId="7A97C03E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51D963DB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3C1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8" w:type="dxa"/>
            <w:vMerge w:val="continue"/>
            <w:vAlign w:val="center"/>
          </w:tcPr>
          <w:p w14:paraId="2D2234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8B3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924" w:type="dxa"/>
            <w:vMerge w:val="continue"/>
            <w:vAlign w:val="center"/>
          </w:tcPr>
          <w:p w14:paraId="16CC1ECD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 w14:paraId="73951E70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088" w:type="dxa"/>
            <w:vMerge w:val="continue"/>
            <w:vAlign w:val="center"/>
          </w:tcPr>
          <w:p w14:paraId="06B47B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65F53D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668159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36B8CE59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9756122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64E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58" w:type="dxa"/>
            <w:vMerge w:val="restart"/>
            <w:vAlign w:val="center"/>
          </w:tcPr>
          <w:p w14:paraId="79DE45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059" w:type="dxa"/>
            <w:vMerge w:val="continue"/>
            <w:vAlign w:val="center"/>
          </w:tcPr>
          <w:p w14:paraId="27C8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924" w:type="dxa"/>
            <w:vMerge w:val="restart"/>
            <w:vAlign w:val="center"/>
          </w:tcPr>
          <w:p w14:paraId="444DAF5C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新建</w:t>
            </w:r>
          </w:p>
        </w:tc>
        <w:tc>
          <w:tcPr>
            <w:tcW w:w="916" w:type="dxa"/>
            <w:vAlign w:val="center"/>
          </w:tcPr>
          <w:p w14:paraId="4603AD92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62" w:firstLineChars="0"/>
              <w:textAlignment w:val="baseline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...</w:t>
            </w:r>
          </w:p>
        </w:tc>
        <w:tc>
          <w:tcPr>
            <w:tcW w:w="1088" w:type="dxa"/>
            <w:vMerge w:val="restart"/>
            <w:vAlign w:val="center"/>
          </w:tcPr>
          <w:p w14:paraId="0EB693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800</w:t>
            </w:r>
          </w:p>
        </w:tc>
        <w:tc>
          <w:tcPr>
            <w:tcW w:w="1020" w:type="dxa"/>
            <w:vMerge w:val="restart"/>
            <w:vAlign w:val="center"/>
          </w:tcPr>
          <w:p w14:paraId="27C358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m²</w:t>
            </w:r>
          </w:p>
        </w:tc>
        <w:tc>
          <w:tcPr>
            <w:tcW w:w="885" w:type="dxa"/>
            <w:vMerge w:val="restart"/>
            <w:vAlign w:val="center"/>
          </w:tcPr>
          <w:p w14:paraId="64695A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05765726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47AB27D1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395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58" w:type="dxa"/>
            <w:vMerge w:val="continue"/>
            <w:vAlign w:val="center"/>
          </w:tcPr>
          <w:p w14:paraId="3B3A9E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7428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lang w:val="en-US" w:eastAsia="zh-CN"/>
              </w:rPr>
            </w:pPr>
          </w:p>
        </w:tc>
        <w:tc>
          <w:tcPr>
            <w:tcW w:w="924" w:type="dxa"/>
            <w:vMerge w:val="continue"/>
            <w:vAlign w:val="center"/>
          </w:tcPr>
          <w:p w14:paraId="09868FE8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 w14:paraId="0ED6A4F6"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...</w:t>
            </w:r>
          </w:p>
        </w:tc>
        <w:tc>
          <w:tcPr>
            <w:tcW w:w="1088" w:type="dxa"/>
            <w:vMerge w:val="continue"/>
            <w:vAlign w:val="center"/>
          </w:tcPr>
          <w:p w14:paraId="6A5A69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39C578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0D0EC4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58F52257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6BD1BE6A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382DFEDF">
      <w:pPr>
        <w:rPr>
          <w:rFonts w:ascii="Times New Roman" w:hAnsi="Times New Roman" w:eastAsia="方正仿宋简体"/>
          <w:b w:val="0"/>
          <w:bCs w:val="0"/>
        </w:rPr>
      </w:pPr>
    </w:p>
    <w:p w14:paraId="42D54860">
      <w:pPr>
        <w:pStyle w:val="2"/>
        <w:spacing w:before="0" w:after="0" w:line="56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注：1.总价(按800㎡预估，结算价按实际收方计算)。</w:t>
      </w:r>
    </w:p>
    <w:p w14:paraId="3C0B0337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2.以上报价已包含税收费用。</w:t>
      </w:r>
    </w:p>
    <w:p w14:paraId="2C916275"/>
    <w:p w14:paraId="6C8DA019">
      <w:pPr>
        <w:pStyle w:val="2"/>
        <w:spacing w:before="0" w:after="0" w:line="560" w:lineRule="exact"/>
        <w:rPr>
          <w:rFonts w:ascii="Times New Roman" w:hAnsi="Times New Roman" w:eastAsia="方正仿宋简体"/>
          <w:b w:val="0"/>
          <w:bCs w:val="0"/>
        </w:rPr>
      </w:pPr>
      <w:r>
        <w:rPr>
          <w:rFonts w:ascii="Times New Roman" w:hAnsi="Times New Roman" w:eastAsia="方正仿宋简体"/>
          <w:b w:val="0"/>
          <w:bCs w:val="0"/>
        </w:rPr>
        <w:t>报价有效期：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报价人：</w:t>
      </w: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 w14:paraId="0402B6A7">
      <w:pPr>
        <w:spacing w:line="560" w:lineRule="exact"/>
      </w:pPr>
      <w:r>
        <w:rPr>
          <w:rFonts w:ascii="Times New Roman" w:hAnsi="Times New Roman" w:eastAsia="方正仿宋简体"/>
          <w:sz w:val="32"/>
          <w:szCs w:val="32"/>
        </w:rPr>
        <w:t>联系人：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                       </w:t>
      </w:r>
      <w:r>
        <w:rPr>
          <w:rFonts w:ascii="Times New Roman" w:hAnsi="Times New Roman" w:eastAsia="方正仿宋简体"/>
          <w:sz w:val="32"/>
          <w:szCs w:val="32"/>
        </w:rPr>
        <w:t>报价时间：</w:t>
      </w:r>
    </w:p>
    <w:p w14:paraId="07917474">
      <w:pPr>
        <w:spacing w:line="560" w:lineRule="exact"/>
      </w:pPr>
      <w:r>
        <w:rPr>
          <w:rFonts w:ascii="Times New Roman" w:hAnsi="Times New Roman" w:eastAsia="方正仿宋简体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                </w:t>
      </w:r>
    </w:p>
    <w:p w14:paraId="018844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79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2024-07-30T09:57:57Z</dcterms:created>
  <dc:creator>HP</dc:creator>
  <cp:lastModifiedBy>Wik-</cp:lastModifiedBy>
  <dcterms:modified xsi:type="dcterms:W3CDTF">2024-07-30T09:58:26Z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034C6A0C494443D69CFF201ABA912953_12</vt:lpwstr>
  </property>
</Properties>
</file>